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color w:val="auto"/>
          <w:sz w:val="72"/>
          <w:highlight w:val="none"/>
        </w:rPr>
      </w:pPr>
      <w:r>
        <w:rPr>
          <w:rFonts w:hint="eastAsia" w:ascii="宋体" w:hAnsi="宋体"/>
          <w:b/>
          <w:color w:val="auto"/>
          <w:sz w:val="72"/>
          <w:highlight w:val="none"/>
        </w:rPr>
        <w:t>厦 门 市 大 宗 货 物</w:t>
      </w:r>
      <w:r>
        <w:rPr>
          <w:rFonts w:hint="eastAsia" w:ascii="宋体" w:hAnsi="宋体"/>
          <w:b/>
          <w:color w:val="auto"/>
          <w:sz w:val="72"/>
          <w:highlight w:val="none"/>
          <w:lang w:val="en-US" w:eastAsia="zh-CN"/>
        </w:rPr>
        <w:t xml:space="preserve">  </w:t>
      </w:r>
      <w:r>
        <w:rPr>
          <w:rFonts w:hint="eastAsia" w:ascii="宋体" w:hAnsi="宋体"/>
          <w:b/>
          <w:color w:val="auto"/>
          <w:sz w:val="72"/>
          <w:highlight w:val="none"/>
        </w:rPr>
        <w:t xml:space="preserve">  </w:t>
      </w:r>
    </w:p>
    <w:p>
      <w:pPr>
        <w:jc w:val="center"/>
        <w:rPr>
          <w:rFonts w:hint="eastAsia" w:ascii="宋体" w:hAnsi="宋体"/>
          <w:b/>
          <w:color w:val="auto"/>
          <w:sz w:val="72"/>
          <w:highlight w:val="none"/>
        </w:rPr>
      </w:pPr>
      <w:r>
        <w:rPr>
          <w:rFonts w:hint="eastAsia" w:ascii="宋体" w:hAnsi="宋体"/>
          <w:b/>
          <w:color w:val="auto"/>
          <w:sz w:val="72"/>
          <w:highlight w:val="none"/>
        </w:rPr>
        <w:t xml:space="preserve">政 府 采 购 项 目 </w:t>
      </w:r>
    </w:p>
    <w:p>
      <w:pPr>
        <w:spacing w:line="360" w:lineRule="auto"/>
        <w:jc w:val="center"/>
        <w:rPr>
          <w:rFonts w:hint="eastAsia" w:ascii="宋体" w:hAnsi="宋体"/>
          <w:b/>
          <w:color w:val="auto"/>
          <w:sz w:val="72"/>
          <w:highlight w:val="none"/>
        </w:rPr>
      </w:pPr>
      <w:r>
        <w:rPr>
          <w:rFonts w:hint="eastAsia" w:ascii="宋体" w:hAnsi="宋体"/>
          <w:b/>
          <w:color w:val="auto"/>
          <w:sz w:val="72"/>
          <w:highlight w:val="none"/>
        </w:rPr>
        <w:t>招   标   文   件</w:t>
      </w:r>
    </w:p>
    <w:p>
      <w:pPr>
        <w:spacing w:line="360" w:lineRule="auto"/>
        <w:ind w:firstLine="1438" w:firstLineChars="398"/>
        <w:rPr>
          <w:rFonts w:hint="eastAsia" w:ascii="宋体" w:hAnsi="宋体"/>
          <w:b/>
          <w:color w:val="auto"/>
          <w:sz w:val="36"/>
          <w:highlight w:val="none"/>
        </w:rPr>
      </w:pPr>
    </w:p>
    <w:p>
      <w:pPr>
        <w:spacing w:line="360" w:lineRule="auto"/>
        <w:ind w:firstLine="1438" w:firstLineChars="398"/>
        <w:rPr>
          <w:rFonts w:hint="eastAsia" w:ascii="宋体" w:hAnsi="宋体"/>
          <w:b/>
          <w:color w:val="auto"/>
          <w:sz w:val="36"/>
          <w:highlight w:val="none"/>
        </w:rPr>
      </w:pPr>
    </w:p>
    <w:p>
      <w:pPr>
        <w:spacing w:line="360" w:lineRule="auto"/>
        <w:ind w:firstLine="1438" w:firstLineChars="398"/>
        <w:rPr>
          <w:rFonts w:hint="eastAsia" w:ascii="宋体" w:hAnsi="宋体"/>
          <w:b/>
          <w:color w:val="auto"/>
          <w:sz w:val="36"/>
          <w:highlight w:val="none"/>
        </w:rPr>
      </w:pPr>
    </w:p>
    <w:p>
      <w:pPr>
        <w:spacing w:line="360" w:lineRule="auto"/>
        <w:ind w:firstLine="1438" w:firstLineChars="398"/>
        <w:rPr>
          <w:rFonts w:hint="eastAsia" w:ascii="宋体" w:hAnsi="宋体"/>
          <w:b/>
          <w:color w:val="auto"/>
          <w:sz w:val="36"/>
          <w:highlight w:val="none"/>
        </w:rPr>
      </w:pPr>
    </w:p>
    <w:p>
      <w:pPr>
        <w:spacing w:line="360" w:lineRule="auto"/>
        <w:ind w:firstLine="1438" w:firstLineChars="398"/>
        <w:rPr>
          <w:rFonts w:hint="default" w:ascii="宋体" w:hAnsi="宋体" w:eastAsia="宋体"/>
          <w:b/>
          <w:color w:val="auto"/>
          <w:sz w:val="36"/>
          <w:highlight w:val="none"/>
          <w:u w:val="single"/>
          <w:lang w:val="en-US" w:eastAsia="zh-CN"/>
        </w:rPr>
      </w:pPr>
      <w:r>
        <w:rPr>
          <w:rFonts w:hint="eastAsia" w:ascii="宋体" w:hAnsi="宋体"/>
          <w:b/>
          <w:color w:val="auto"/>
          <w:sz w:val="36"/>
          <w:highlight w:val="none"/>
        </w:rPr>
        <w:t>招 标 编 号：</w:t>
      </w:r>
      <w:r>
        <w:rPr>
          <w:rFonts w:hint="eastAsia" w:ascii="宋体" w:hAnsi="宋体"/>
          <w:b/>
          <w:color w:val="auto"/>
          <w:sz w:val="36"/>
          <w:highlight w:val="none"/>
          <w:u w:val="single"/>
        </w:rPr>
        <w:t>XM</w:t>
      </w:r>
      <w:r>
        <w:rPr>
          <w:rFonts w:hint="eastAsia" w:ascii="宋体" w:hAnsi="宋体"/>
          <w:b/>
          <w:color w:val="auto"/>
          <w:sz w:val="36"/>
          <w:highlight w:val="none"/>
          <w:u w:val="single"/>
          <w:lang w:eastAsia="zh-CN"/>
        </w:rPr>
        <w:t>2024</w:t>
      </w:r>
      <w:r>
        <w:rPr>
          <w:rFonts w:hint="eastAsia" w:ascii="宋体" w:hAnsi="宋体"/>
          <w:b/>
          <w:color w:val="auto"/>
          <w:sz w:val="36"/>
          <w:highlight w:val="none"/>
          <w:u w:val="single"/>
        </w:rPr>
        <w:t>-DZ</w:t>
      </w:r>
      <w:r>
        <w:rPr>
          <w:rFonts w:hint="eastAsia" w:ascii="宋体" w:hAnsi="宋体"/>
          <w:b/>
          <w:color w:val="auto"/>
          <w:sz w:val="36"/>
          <w:highlight w:val="none"/>
          <w:u w:val="single"/>
          <w:lang w:val="en-US" w:eastAsia="zh-CN"/>
        </w:rPr>
        <w:t>0019</w:t>
      </w:r>
    </w:p>
    <w:p>
      <w:pPr>
        <w:spacing w:line="360" w:lineRule="auto"/>
        <w:ind w:left="3948" w:leftChars="684" w:hanging="2512" w:hangingChars="695"/>
        <w:rPr>
          <w:rFonts w:hint="default" w:ascii="宋体" w:hAnsi="宋体" w:eastAsia="宋体"/>
          <w:b/>
          <w:color w:val="auto"/>
          <w:sz w:val="36"/>
          <w:highlight w:val="none"/>
          <w:u w:val="single"/>
          <w:lang w:val="en-US" w:eastAsia="zh-CN"/>
        </w:rPr>
      </w:pPr>
      <w:r>
        <w:rPr>
          <w:rFonts w:hint="eastAsia" w:ascii="宋体" w:hAnsi="宋体"/>
          <w:b/>
          <w:color w:val="auto"/>
          <w:sz w:val="36"/>
          <w:highlight w:val="none"/>
        </w:rPr>
        <w:t>项 目 名 称：</w:t>
      </w:r>
      <w:r>
        <w:rPr>
          <w:rFonts w:hint="eastAsia" w:ascii="宋体" w:hAnsi="宋体"/>
          <w:b/>
          <w:color w:val="auto"/>
          <w:sz w:val="36"/>
          <w:highlight w:val="none"/>
          <w:lang w:val="en-US" w:eastAsia="zh-CN"/>
        </w:rPr>
        <w:t>组合家具（墩上学校）</w:t>
      </w:r>
    </w:p>
    <w:p>
      <w:pPr>
        <w:spacing w:line="360" w:lineRule="auto"/>
        <w:ind w:firstLine="1438" w:firstLineChars="398"/>
        <w:rPr>
          <w:rFonts w:hint="eastAsia" w:ascii="宋体" w:hAnsi="宋体"/>
          <w:b/>
          <w:color w:val="auto"/>
          <w:sz w:val="36"/>
          <w:highlight w:val="none"/>
        </w:rPr>
      </w:pPr>
    </w:p>
    <w:p>
      <w:pPr>
        <w:spacing w:line="360" w:lineRule="auto"/>
        <w:ind w:firstLine="1438" w:firstLineChars="398"/>
        <w:rPr>
          <w:rFonts w:hint="eastAsia" w:ascii="宋体" w:hAnsi="宋体"/>
          <w:b/>
          <w:color w:val="auto"/>
          <w:sz w:val="36"/>
          <w:highlight w:val="none"/>
        </w:rPr>
      </w:pPr>
    </w:p>
    <w:p>
      <w:pPr>
        <w:spacing w:line="360" w:lineRule="auto"/>
        <w:ind w:firstLine="1438" w:firstLineChars="398"/>
        <w:rPr>
          <w:rFonts w:hint="eastAsia" w:ascii="宋体" w:hAnsi="宋体"/>
          <w:b/>
          <w:color w:val="auto"/>
          <w:sz w:val="36"/>
          <w:highlight w:val="none"/>
        </w:rPr>
      </w:pPr>
    </w:p>
    <w:p>
      <w:pPr>
        <w:spacing w:line="360" w:lineRule="auto"/>
        <w:ind w:firstLine="1438" w:firstLineChars="398"/>
        <w:rPr>
          <w:rFonts w:hint="eastAsia" w:ascii="宋体" w:hAnsi="宋体"/>
          <w:b/>
          <w:color w:val="auto"/>
          <w:sz w:val="36"/>
          <w:highlight w:val="none"/>
        </w:rPr>
      </w:pPr>
    </w:p>
    <w:p>
      <w:pPr>
        <w:spacing w:line="360" w:lineRule="auto"/>
        <w:ind w:firstLine="1438" w:firstLineChars="398"/>
        <w:rPr>
          <w:rFonts w:hint="eastAsia" w:ascii="宋体" w:hAnsi="宋体"/>
          <w:b/>
          <w:color w:val="auto"/>
          <w:sz w:val="36"/>
          <w:highlight w:val="none"/>
        </w:rPr>
      </w:pPr>
    </w:p>
    <w:p>
      <w:pPr>
        <w:pStyle w:val="5"/>
        <w:spacing w:line="360" w:lineRule="auto"/>
        <w:ind w:firstLine="1438" w:firstLineChars="398"/>
        <w:jc w:val="left"/>
        <w:rPr>
          <w:rFonts w:hint="eastAsia" w:hAnsi="宋体"/>
          <w:b/>
          <w:color w:val="auto"/>
          <w:spacing w:val="20"/>
          <w:sz w:val="32"/>
          <w:highlight w:val="none"/>
        </w:rPr>
      </w:pPr>
    </w:p>
    <w:p>
      <w:pPr>
        <w:pStyle w:val="5"/>
        <w:spacing w:line="360" w:lineRule="auto"/>
        <w:ind w:firstLine="1438" w:firstLineChars="398"/>
        <w:jc w:val="left"/>
        <w:rPr>
          <w:rFonts w:hint="default" w:hAnsi="宋体" w:eastAsia="宋体"/>
          <w:b/>
          <w:bCs/>
          <w:color w:val="auto"/>
          <w:sz w:val="32"/>
          <w:highlight w:val="none"/>
          <w:u w:val="single"/>
          <w:lang w:val="en-US" w:eastAsia="zh-CN"/>
        </w:rPr>
      </w:pPr>
      <w:r>
        <w:rPr>
          <w:rFonts w:hint="eastAsia" w:hAnsi="宋体"/>
          <w:b/>
          <w:color w:val="auto"/>
          <w:spacing w:val="20"/>
          <w:sz w:val="32"/>
          <w:highlight w:val="none"/>
        </w:rPr>
        <w:t>使用单位：</w:t>
      </w:r>
      <w:r>
        <w:rPr>
          <w:rFonts w:hint="eastAsia" w:hAnsi="宋体"/>
          <w:b/>
          <w:color w:val="auto"/>
          <w:spacing w:val="20"/>
          <w:sz w:val="32"/>
          <w:highlight w:val="none"/>
          <w:lang w:val="en-US" w:eastAsia="zh-CN"/>
        </w:rPr>
        <w:t>厦门市蔡塘学校</w:t>
      </w:r>
    </w:p>
    <w:p>
      <w:pPr>
        <w:pStyle w:val="5"/>
        <w:spacing w:line="360" w:lineRule="auto"/>
        <w:ind w:firstLine="1438" w:firstLineChars="398"/>
        <w:jc w:val="left"/>
        <w:rPr>
          <w:rFonts w:hint="eastAsia" w:hAnsi="宋体"/>
          <w:b/>
          <w:bCs/>
          <w:color w:val="auto"/>
          <w:sz w:val="32"/>
          <w:highlight w:val="none"/>
        </w:rPr>
      </w:pPr>
      <w:r>
        <w:rPr>
          <w:rFonts w:hint="eastAsia" w:hAnsi="宋体"/>
          <w:b/>
          <w:color w:val="auto"/>
          <w:spacing w:val="20"/>
          <w:sz w:val="32"/>
          <w:highlight w:val="none"/>
        </w:rPr>
        <w:t>采购单位：</w:t>
      </w:r>
      <w:r>
        <w:rPr>
          <w:rFonts w:hint="eastAsia" w:hAnsi="宋体"/>
          <w:b/>
          <w:bCs/>
          <w:color w:val="auto"/>
          <w:sz w:val="32"/>
          <w:highlight w:val="none"/>
        </w:rPr>
        <w:t>厦门万翔网络商务有限公司</w:t>
      </w:r>
    </w:p>
    <w:p>
      <w:pPr>
        <w:pStyle w:val="5"/>
        <w:spacing w:line="360" w:lineRule="auto"/>
        <w:ind w:firstLine="1438" w:firstLineChars="398"/>
        <w:jc w:val="left"/>
        <w:rPr>
          <w:rFonts w:hint="eastAsia" w:hAnsi="宋体"/>
          <w:b/>
          <w:color w:val="auto"/>
          <w:sz w:val="28"/>
          <w:highlight w:val="none"/>
        </w:rPr>
      </w:pPr>
      <w:r>
        <w:rPr>
          <w:rFonts w:hint="eastAsia" w:hAnsi="宋体"/>
          <w:b/>
          <w:color w:val="auto"/>
          <w:spacing w:val="20"/>
          <w:sz w:val="32"/>
          <w:highlight w:val="none"/>
        </w:rPr>
        <w:t>招标代理机构：</w:t>
      </w:r>
      <w:r>
        <w:rPr>
          <w:rFonts w:hint="eastAsia" w:hAnsi="宋体"/>
          <w:b/>
          <w:bCs/>
          <w:color w:val="auto"/>
          <w:sz w:val="32"/>
          <w:highlight w:val="none"/>
        </w:rPr>
        <w:t xml:space="preserve">厦门万翔招标有限公司 </w:t>
      </w:r>
      <w:r>
        <w:rPr>
          <w:rFonts w:hint="eastAsia" w:hAnsi="宋体"/>
          <w:b/>
          <w:color w:val="auto"/>
          <w:spacing w:val="20"/>
          <w:sz w:val="32"/>
          <w:highlight w:val="none"/>
        </w:rPr>
        <w:t xml:space="preserve"> </w:t>
      </w:r>
    </w:p>
    <w:p>
      <w:pPr>
        <w:spacing w:line="360" w:lineRule="auto"/>
        <w:ind w:firstLine="1438" w:firstLineChars="398"/>
        <w:rPr>
          <w:rFonts w:hint="eastAsia" w:ascii="宋体" w:hAnsi="宋体"/>
          <w:b/>
          <w:color w:val="auto"/>
          <w:sz w:val="36"/>
          <w:highlight w:val="none"/>
        </w:rPr>
      </w:pPr>
    </w:p>
    <w:p>
      <w:pPr>
        <w:pStyle w:val="5"/>
        <w:spacing w:line="360" w:lineRule="auto"/>
        <w:jc w:val="center"/>
        <w:outlineLvl w:val="0"/>
        <w:rPr>
          <w:rFonts w:hint="eastAsia" w:hAnsi="宋体"/>
          <w:b/>
          <w:color w:val="auto"/>
          <w:sz w:val="32"/>
          <w:highlight w:val="none"/>
        </w:rPr>
      </w:pPr>
      <w:r>
        <w:rPr>
          <w:rFonts w:hint="eastAsia" w:hAnsi="宋体"/>
          <w:b/>
          <w:color w:val="auto"/>
          <w:sz w:val="32"/>
          <w:highlight w:val="none"/>
          <w:lang w:eastAsia="zh-CN"/>
        </w:rPr>
        <w:t>2024</w:t>
      </w:r>
      <w:r>
        <w:rPr>
          <w:rFonts w:hint="eastAsia" w:hAnsi="宋体"/>
          <w:b/>
          <w:color w:val="auto"/>
          <w:sz w:val="32"/>
          <w:highlight w:val="none"/>
        </w:rPr>
        <w:t>年</w:t>
      </w:r>
    </w:p>
    <w:p>
      <w:pPr>
        <w:pStyle w:val="5"/>
        <w:spacing w:line="360" w:lineRule="auto"/>
        <w:jc w:val="both"/>
        <w:outlineLvl w:val="0"/>
        <w:rPr>
          <w:rFonts w:hint="eastAsia" w:hAnsi="宋体"/>
          <w:b/>
          <w:color w:val="auto"/>
          <w:sz w:val="32"/>
          <w:highlight w:val="none"/>
        </w:rPr>
      </w:pPr>
    </w:p>
    <w:p>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关于政府采购信用贷款的提示</w:t>
      </w:r>
    </w:p>
    <w:p>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（201608版）</w:t>
      </w:r>
    </w:p>
    <w:p>
      <w:pPr>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项目中标（成交）供应商(若为中小企业)可申请政府采购信用贷款，即中标（成交）供应商可凭中标（成交）通知书向以下金融机构申请政府采购信用融资贷款，由专业担保机构提供担保，或由保险公司为融资提供保险。供应商在参加本项目时，即可与支持政府采购信用贷款的金融机构联系，咨询办理政府采购信用贷款的具体事宜。</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有关金融机构联系方式：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（一）中国建设银行厦门分行：</w:t>
      </w:r>
    </w:p>
    <w:p>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联系人：魏慧媛   2158595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（二）中国光大银行厦门分行：</w:t>
      </w:r>
    </w:p>
    <w:p>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联系人：陈  虹   2283776、13806013400；朱姗姗   2991131、18050082825</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（三）兴业银行厦门分行</w:t>
      </w:r>
    </w:p>
    <w:p>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联系人：陈小姐  0592-5312509 13599531245 ；高经理  0592-5312350 13850017508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（四）厦门市担保有限公司：</w:t>
      </w:r>
    </w:p>
    <w:p>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联系人：陈文辉   5125116；吴龙辉   5120019</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（五）厦门银行股份有限公司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联系人：张冬梅 13395990009 ；陈韵 13656021986</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以上具体贷款事项，以贷款机构与贷款人最终签订的贷款合同约定为准，贷款人应进一步与贷款金融机构了解详细情况。任何单位和个人均不得干预银企双方开展政府采购信用贷款业务。</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本提示仅作为信息告知，具体贷款事宜以银行等有关金融机构审批为准。</w:t>
      </w:r>
    </w:p>
    <w:p>
      <w:pPr>
        <w:spacing w:line="360" w:lineRule="auto"/>
        <w:ind w:firstLine="480" w:firstLineChars="200"/>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p>
    <w:p>
      <w:pPr>
        <w:spacing w:line="360" w:lineRule="auto"/>
        <w:ind w:firstLine="0" w:firstLineChars="0"/>
        <w:rPr>
          <w:rFonts w:hint="eastAsia" w:ascii="宋体" w:hAnsi="宋体" w:eastAsia="宋体" w:cs="宋体"/>
          <w:color w:val="auto"/>
          <w:sz w:val="24"/>
          <w:szCs w:val="24"/>
          <w:highlight w:val="none"/>
        </w:rPr>
      </w:pPr>
    </w:p>
    <w:p>
      <w:pPr>
        <w:pStyle w:val="5"/>
        <w:spacing w:line="360" w:lineRule="auto"/>
        <w:jc w:val="center"/>
        <w:outlineLvl w:val="0"/>
        <w:rPr>
          <w:rFonts w:hint="eastAsia" w:hAnsi="宋体" w:eastAsia="宋体" w:cs="宋体"/>
          <w:b/>
          <w:bCs/>
          <w:color w:val="auto"/>
          <w:sz w:val="32"/>
          <w:szCs w:val="32"/>
          <w:highlight w:val="none"/>
        </w:rPr>
      </w:pPr>
      <w:r>
        <w:rPr>
          <w:rFonts w:hint="eastAsia" w:hAnsi="宋体" w:eastAsia="宋体" w:cs="宋体"/>
          <w:b/>
          <w:bCs/>
          <w:color w:val="auto"/>
          <w:sz w:val="32"/>
          <w:szCs w:val="32"/>
          <w:highlight w:val="none"/>
        </w:rPr>
        <w:t xml:space="preserve">  目   录</w:t>
      </w:r>
    </w:p>
    <w:p>
      <w:pPr>
        <w:pStyle w:val="2"/>
        <w:snapToGrid w:val="0"/>
        <w:spacing w:line="360" w:lineRule="auto"/>
        <w:ind w:firstLine="0"/>
        <w:rPr>
          <w:rFonts w:hint="eastAsia" w:ascii="宋体" w:hAnsi="宋体" w:eastAsia="宋体" w:cs="宋体"/>
          <w:color w:val="auto"/>
          <w:sz w:val="24"/>
          <w:szCs w:val="24"/>
          <w:highlight w:val="none"/>
        </w:rPr>
      </w:pPr>
    </w:p>
    <w:p>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第一章    投标邀请 …………………………………………………1</w:t>
      </w:r>
    </w:p>
    <w:p>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投标邀请函…………………………………………………1-1</w:t>
      </w:r>
    </w:p>
    <w:p>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第二章    投标人须知  ………………………………………………2</w:t>
      </w:r>
    </w:p>
    <w:p>
      <w:pPr>
        <w:spacing w:line="360" w:lineRule="auto"/>
        <w:ind w:firstLine="240" w:firstLineChars="1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投标人须知前附表1、2、3、4 </w:t>
      </w:r>
      <w:r>
        <w:rPr>
          <w:rFonts w:hint="eastAsia" w:ascii="宋体" w:hAnsi="宋体" w:eastAsia="宋体" w:cs="宋体"/>
          <w:color w:val="auto"/>
          <w:sz w:val="24"/>
          <w:szCs w:val="24"/>
          <w:highlight w:val="none"/>
        </w:rPr>
        <w:t>……………………………………2-1-1</w:t>
      </w:r>
    </w:p>
    <w:p>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 说明 ………………………………………………………2-2-1</w:t>
      </w:r>
    </w:p>
    <w:p>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 招标文件 …………………………………………………2-2-</w:t>
      </w:r>
      <w:r>
        <w:rPr>
          <w:rFonts w:hint="eastAsia" w:ascii="宋体" w:hAnsi="宋体" w:eastAsia="宋体" w:cs="宋体"/>
          <w:color w:val="auto"/>
          <w:sz w:val="24"/>
          <w:szCs w:val="24"/>
          <w:highlight w:val="none"/>
          <w:lang w:val="en-US" w:eastAsia="zh-CN"/>
        </w:rPr>
        <w:t>4</w:t>
      </w:r>
    </w:p>
    <w:p>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 投标文件的编写 …………………………………………2-2-</w:t>
      </w:r>
      <w:r>
        <w:rPr>
          <w:rFonts w:hint="eastAsia" w:ascii="宋体" w:hAnsi="宋体" w:eastAsia="宋体" w:cs="宋体"/>
          <w:color w:val="auto"/>
          <w:sz w:val="24"/>
          <w:szCs w:val="24"/>
          <w:highlight w:val="none"/>
          <w:lang w:val="en-US" w:eastAsia="zh-CN"/>
        </w:rPr>
        <w:t>5</w:t>
      </w:r>
    </w:p>
    <w:p>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 投标文件的提交 …………………………………………2-2-</w:t>
      </w:r>
      <w:r>
        <w:rPr>
          <w:rFonts w:hint="eastAsia" w:ascii="宋体" w:hAnsi="宋体" w:eastAsia="宋体" w:cs="宋体"/>
          <w:color w:val="auto"/>
          <w:sz w:val="24"/>
          <w:szCs w:val="24"/>
          <w:highlight w:val="none"/>
          <w:lang w:val="en-US" w:eastAsia="zh-CN"/>
        </w:rPr>
        <w:t>8</w:t>
      </w:r>
    </w:p>
    <w:p>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 投标文件的评估和比较 …………………………………2-2-</w:t>
      </w:r>
      <w:r>
        <w:rPr>
          <w:rFonts w:hint="eastAsia" w:ascii="宋体" w:hAnsi="宋体" w:eastAsia="宋体" w:cs="宋体"/>
          <w:color w:val="auto"/>
          <w:sz w:val="24"/>
          <w:szCs w:val="24"/>
          <w:highlight w:val="none"/>
          <w:lang w:val="en-US" w:eastAsia="zh-CN"/>
        </w:rPr>
        <w:t>9</w:t>
      </w:r>
    </w:p>
    <w:p>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 定标与签订合同…………………………………………2-2-1</w:t>
      </w:r>
      <w:r>
        <w:rPr>
          <w:rFonts w:hint="eastAsia" w:ascii="宋体" w:hAnsi="宋体" w:eastAsia="宋体" w:cs="宋体"/>
          <w:color w:val="auto"/>
          <w:sz w:val="24"/>
          <w:szCs w:val="24"/>
          <w:highlight w:val="none"/>
          <w:lang w:val="en-US" w:eastAsia="zh-CN"/>
        </w:rPr>
        <w:t>2</w:t>
      </w:r>
    </w:p>
    <w:p>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第三章    招标内容及要求  ………………………………………3-1</w:t>
      </w:r>
    </w:p>
    <w:p>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第四章    政府</w:t>
      </w:r>
      <w:r>
        <w:rPr>
          <w:rFonts w:hint="eastAsia" w:ascii="宋体" w:hAnsi="宋体" w:eastAsia="宋体" w:cs="宋体"/>
          <w:bCs/>
          <w:color w:val="auto"/>
          <w:sz w:val="24"/>
          <w:szCs w:val="24"/>
          <w:highlight w:val="none"/>
        </w:rPr>
        <w:t xml:space="preserve">采购合同 </w:t>
      </w:r>
      <w:r>
        <w:rPr>
          <w:rFonts w:hint="eastAsia" w:ascii="宋体" w:hAnsi="宋体" w:eastAsia="宋体" w:cs="宋体"/>
          <w:color w:val="auto"/>
          <w:sz w:val="24"/>
          <w:szCs w:val="24"/>
          <w:highlight w:val="none"/>
        </w:rPr>
        <w:t>…………………………………………4-1</w:t>
      </w:r>
    </w:p>
    <w:p>
      <w:pPr>
        <w:pStyle w:val="2"/>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第五章    投标文件格式 …………………………………………5-1</w:t>
      </w:r>
    </w:p>
    <w:p>
      <w:pPr>
        <w:pStyle w:val="2"/>
        <w:spacing w:line="360" w:lineRule="auto"/>
        <w:ind w:firstLine="2250" w:firstLineChars="934"/>
        <w:rPr>
          <w:rFonts w:hint="eastAsia" w:ascii="宋体" w:hAnsi="宋体" w:eastAsia="宋体" w:cs="宋体"/>
          <w:b/>
          <w:color w:val="auto"/>
          <w:sz w:val="24"/>
          <w:szCs w:val="24"/>
          <w:highlight w:val="none"/>
          <w:u w:val="single"/>
        </w:rPr>
        <w:sectPr>
          <w:footerReference r:id="rId5" w:type="first"/>
          <w:headerReference r:id="rId3" w:type="default"/>
          <w:footerReference r:id="rId4" w:type="default"/>
          <w:pgSz w:w="11906" w:h="16838"/>
          <w:pgMar w:top="1440" w:right="1800" w:bottom="1440" w:left="1800" w:header="851" w:footer="992" w:gutter="0"/>
          <w:cols w:space="425" w:num="1"/>
          <w:docGrid w:type="lines" w:linePitch="312" w:charSpace="0"/>
        </w:sectPr>
      </w:pPr>
    </w:p>
    <w:p>
      <w:pPr>
        <w:pStyle w:val="39"/>
        <w:spacing w:line="360" w:lineRule="auto"/>
        <w:jc w:val="center"/>
        <w:rPr>
          <w:rFonts w:hint="eastAsia" w:hAnsi="宋体" w:eastAsia="宋体" w:cs="宋体"/>
          <w:b/>
          <w:bCs/>
          <w:color w:val="auto"/>
          <w:sz w:val="32"/>
          <w:szCs w:val="32"/>
          <w:highlight w:val="none"/>
        </w:rPr>
      </w:pPr>
      <w:r>
        <w:rPr>
          <w:rFonts w:hint="eastAsia" w:hAnsi="宋体" w:eastAsia="宋体" w:cs="宋体"/>
          <w:b/>
          <w:color w:val="auto"/>
          <w:sz w:val="32"/>
          <w:szCs w:val="32"/>
          <w:highlight w:val="none"/>
        </w:rPr>
        <w:t>第一章  投标邀请函</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w:t>
      </w:r>
      <w:r>
        <w:rPr>
          <w:rFonts w:hint="eastAsia" w:ascii="宋体" w:hAnsi="宋体" w:cs="宋体"/>
          <w:b/>
          <w:color w:val="auto"/>
          <w:sz w:val="24"/>
          <w:szCs w:val="24"/>
          <w:highlight w:val="none"/>
          <w:u w:val="single"/>
        </w:rPr>
        <w:t>厦门万翔网络商务有限公司</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rPr>
        <w:t>委托，</w:t>
      </w:r>
      <w:r>
        <w:rPr>
          <w:rFonts w:hint="eastAsia" w:ascii="宋体" w:hAnsi="宋体" w:eastAsia="宋体" w:cs="宋体"/>
          <w:b/>
          <w:color w:val="auto"/>
          <w:sz w:val="24"/>
          <w:szCs w:val="24"/>
          <w:highlight w:val="none"/>
          <w:u w:val="single"/>
        </w:rPr>
        <w:t xml:space="preserve">厦门万翔招标有限公司 </w:t>
      </w:r>
      <w:r>
        <w:rPr>
          <w:rFonts w:hint="eastAsia" w:ascii="宋体" w:hAnsi="宋体" w:eastAsia="宋体" w:cs="宋体"/>
          <w:color w:val="auto"/>
          <w:sz w:val="24"/>
          <w:szCs w:val="24"/>
          <w:highlight w:val="none"/>
        </w:rPr>
        <w:t>对【</w:t>
      </w:r>
      <w:r>
        <w:rPr>
          <w:rFonts w:hint="eastAsia" w:ascii="宋体" w:hAnsi="宋体" w:cs="宋体"/>
          <w:b/>
          <w:color w:val="auto"/>
          <w:sz w:val="24"/>
          <w:szCs w:val="24"/>
          <w:highlight w:val="none"/>
          <w:u w:val="single"/>
          <w:lang w:val="en-US" w:eastAsia="zh-CN"/>
        </w:rPr>
        <w:t>组合家具（墩上学校）</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货物进行国内公开招标，现欢迎国内合格的投标人前来投标。</w:t>
      </w:r>
    </w:p>
    <w:p>
      <w:pPr>
        <w:spacing w:line="360" w:lineRule="auto"/>
        <w:ind w:firstLine="360" w:firstLineChars="15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1、招标编号：</w:t>
      </w:r>
      <w:r>
        <w:rPr>
          <w:rFonts w:hint="eastAsia" w:ascii="宋体" w:hAnsi="宋体" w:eastAsia="宋体" w:cs="宋体"/>
          <w:color w:val="auto"/>
          <w:sz w:val="24"/>
          <w:szCs w:val="24"/>
          <w:highlight w:val="none"/>
          <w:u w:val="single"/>
        </w:rPr>
        <w:t>XM</w:t>
      </w:r>
      <w:r>
        <w:rPr>
          <w:rFonts w:hint="eastAsia" w:ascii="宋体" w:hAnsi="宋体" w:cs="宋体"/>
          <w:color w:val="auto"/>
          <w:sz w:val="24"/>
          <w:szCs w:val="24"/>
          <w:highlight w:val="none"/>
          <w:u w:val="single"/>
          <w:lang w:eastAsia="zh-CN"/>
        </w:rPr>
        <w:t>2024</w:t>
      </w:r>
      <w:r>
        <w:rPr>
          <w:rFonts w:hint="eastAsia" w:ascii="宋体" w:hAnsi="宋体" w:eastAsia="宋体" w:cs="宋体"/>
          <w:color w:val="auto"/>
          <w:sz w:val="24"/>
          <w:szCs w:val="24"/>
          <w:highlight w:val="none"/>
          <w:u w:val="single"/>
        </w:rPr>
        <w:t>-DZ</w:t>
      </w:r>
      <w:r>
        <w:rPr>
          <w:rFonts w:hint="eastAsia" w:ascii="宋体" w:hAnsi="宋体" w:eastAsia="宋体" w:cs="宋体"/>
          <w:color w:val="auto"/>
          <w:sz w:val="24"/>
          <w:szCs w:val="24"/>
          <w:highlight w:val="none"/>
          <w:u w:val="single"/>
          <w:lang w:val="en-US" w:eastAsia="zh-CN"/>
        </w:rPr>
        <w:t>0</w:t>
      </w:r>
      <w:r>
        <w:rPr>
          <w:rFonts w:hint="eastAsia" w:ascii="宋体" w:hAnsi="宋体" w:cs="宋体"/>
          <w:color w:val="auto"/>
          <w:sz w:val="24"/>
          <w:szCs w:val="24"/>
          <w:highlight w:val="none"/>
          <w:u w:val="single"/>
          <w:lang w:val="en-US" w:eastAsia="zh-CN"/>
        </w:rPr>
        <w:t>019</w:t>
      </w:r>
      <w:r>
        <w:rPr>
          <w:rFonts w:hint="eastAsia" w:ascii="宋体" w:hAnsi="宋体" w:eastAsia="宋体" w:cs="宋体"/>
          <w:color w:val="auto"/>
          <w:sz w:val="24"/>
          <w:szCs w:val="24"/>
          <w:highlight w:val="none"/>
          <w:u w:val="single"/>
        </w:rPr>
        <w:t xml:space="preserve">。 </w:t>
      </w:r>
    </w:p>
    <w:p>
      <w:pPr>
        <w:spacing w:line="360" w:lineRule="auto"/>
        <w:ind w:firstLine="318" w:firstLineChars="150"/>
        <w:rPr>
          <w:rFonts w:hint="eastAsia" w:ascii="宋体" w:hAnsi="宋体" w:eastAsia="宋体" w:cs="宋体"/>
          <w:color w:val="auto"/>
          <w:spacing w:val="-14"/>
          <w:sz w:val="24"/>
          <w:szCs w:val="24"/>
          <w:highlight w:val="none"/>
        </w:rPr>
      </w:pPr>
      <w:r>
        <w:rPr>
          <w:rFonts w:hint="eastAsia" w:ascii="宋体" w:hAnsi="宋体" w:eastAsia="宋体" w:cs="宋体"/>
          <w:color w:val="auto"/>
          <w:spacing w:val="-14"/>
          <w:sz w:val="24"/>
          <w:szCs w:val="24"/>
          <w:highlight w:val="none"/>
        </w:rPr>
        <w:t>2、招标货物（服务）名称、数量及主要技术规格：见后</w:t>
      </w:r>
      <w:r>
        <w:rPr>
          <w:rFonts w:hint="eastAsia" w:ascii="宋体" w:hAnsi="宋体" w:eastAsia="宋体" w:cs="宋体"/>
          <w:color w:val="auto"/>
          <w:sz w:val="24"/>
          <w:szCs w:val="24"/>
          <w:highlight w:val="none"/>
        </w:rPr>
        <w:t>附招标货物（</w:t>
      </w:r>
      <w:r>
        <w:rPr>
          <w:rFonts w:hint="eastAsia" w:ascii="宋体" w:hAnsi="宋体" w:eastAsia="宋体" w:cs="宋体"/>
          <w:color w:val="auto"/>
          <w:spacing w:val="-14"/>
          <w:sz w:val="24"/>
          <w:szCs w:val="24"/>
          <w:highlight w:val="none"/>
        </w:rPr>
        <w:t>服务）</w:t>
      </w:r>
      <w:r>
        <w:rPr>
          <w:rFonts w:hint="eastAsia" w:ascii="宋体" w:hAnsi="宋体" w:eastAsia="宋体" w:cs="宋体"/>
          <w:color w:val="auto"/>
          <w:sz w:val="24"/>
          <w:szCs w:val="24"/>
          <w:highlight w:val="none"/>
        </w:rPr>
        <w:t>一览表。</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3、招标文件获取方式：</w:t>
      </w:r>
      <w:r>
        <w:rPr>
          <w:rFonts w:hint="eastAsia" w:ascii="宋体" w:hAnsi="宋体" w:cs="宋体"/>
          <w:bCs/>
          <w:color w:val="auto"/>
          <w:sz w:val="24"/>
          <w:szCs w:val="24"/>
          <w:highlight w:val="none"/>
          <w:lang w:eastAsia="zh-CN"/>
        </w:rPr>
        <w:t>2024</w:t>
      </w:r>
      <w:r>
        <w:rPr>
          <w:rFonts w:hint="eastAsia" w:ascii="宋体" w:hAnsi="宋体" w:eastAsia="宋体" w:cs="宋体"/>
          <w:bCs/>
          <w:color w:val="auto"/>
          <w:sz w:val="24"/>
          <w:szCs w:val="24"/>
          <w:highlight w:val="none"/>
        </w:rPr>
        <w:t>年</w:t>
      </w:r>
      <w:r>
        <w:rPr>
          <w:rFonts w:hint="eastAsia" w:ascii="宋体" w:hAnsi="宋体" w:cs="宋体"/>
          <w:bCs/>
          <w:color w:val="auto"/>
          <w:sz w:val="24"/>
          <w:szCs w:val="24"/>
          <w:highlight w:val="none"/>
          <w:lang w:val="en-US" w:eastAsia="zh-CN"/>
        </w:rPr>
        <w:t>05</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16</w:t>
      </w:r>
      <w:r>
        <w:rPr>
          <w:rFonts w:hint="eastAsia" w:ascii="宋体" w:hAnsi="宋体" w:eastAsia="宋体" w:cs="宋体"/>
          <w:color w:val="auto"/>
          <w:sz w:val="24"/>
          <w:szCs w:val="24"/>
          <w:highlight w:val="none"/>
        </w:rPr>
        <w:t>日至</w:t>
      </w:r>
      <w:r>
        <w:rPr>
          <w:rFonts w:hint="eastAsia" w:ascii="宋体" w:hAnsi="宋体" w:cs="宋体"/>
          <w:color w:val="auto"/>
          <w:sz w:val="24"/>
          <w:szCs w:val="24"/>
          <w:highlight w:val="none"/>
          <w:lang w:eastAsia="zh-CN"/>
        </w:rPr>
        <w:t>2024</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05</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31</w:t>
      </w:r>
      <w:r>
        <w:rPr>
          <w:rFonts w:hint="eastAsia" w:ascii="宋体" w:hAnsi="宋体" w:eastAsia="宋体" w:cs="宋体"/>
          <w:color w:val="auto"/>
          <w:sz w:val="24"/>
          <w:szCs w:val="24"/>
          <w:highlight w:val="none"/>
        </w:rPr>
        <w:t>日，有意向的供应商应在厦门招投标网（http:// www.xmztb.com，下同）注册账号，登录后可免费在线浏览招标文件，完成缴费并下载招标文件后方具备投标资格。缴费仅支持在线扫码支付。</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A、供应商注册详见厦门招投标网－办事指南－操作手册—《供应商注册登记操作手册》</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B、缴费及下载招标文件详见厦门招投标网－办事指南－操作手册—《供应商招标项目操作手册》</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C、请各投标人务必在招标文件购买截止时间前，在线扫码支付完成缴费并下载招标文件，否则不具备投标资格。</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D、纸质招标文件(若需要)获取方式：领取地点在厦门市湖里区机场北路476号</w:t>
      </w:r>
      <w:r>
        <w:rPr>
          <w:rFonts w:hint="eastAsia" w:ascii="宋体" w:hAnsi="宋体" w:eastAsia="宋体" w:cs="宋体"/>
          <w:color w:val="auto"/>
          <w:sz w:val="24"/>
          <w:szCs w:val="24"/>
          <w:highlight w:val="none"/>
          <w:lang w:eastAsia="zh-CN"/>
        </w:rPr>
        <w:t>万翔招标</w:t>
      </w:r>
      <w:r>
        <w:rPr>
          <w:rFonts w:hint="eastAsia" w:ascii="宋体" w:hAnsi="宋体" w:eastAsia="宋体" w:cs="宋体"/>
          <w:color w:val="auto"/>
          <w:sz w:val="24"/>
          <w:szCs w:val="24"/>
          <w:highlight w:val="none"/>
        </w:rPr>
        <w:t>4楼售标室。纸质招标文件领取事宜联系电话：0592-2219823。</w:t>
      </w:r>
    </w:p>
    <w:p>
      <w:pPr>
        <w:pStyle w:val="5"/>
        <w:spacing w:line="360" w:lineRule="auto"/>
        <w:ind w:firstLine="480" w:firstLineChars="200"/>
        <w:jc w:val="left"/>
        <w:rPr>
          <w:rFonts w:hint="eastAsia" w:hAnsi="宋体" w:eastAsia="宋体" w:cs="宋体"/>
          <w:color w:val="auto"/>
          <w:sz w:val="24"/>
          <w:szCs w:val="24"/>
          <w:highlight w:val="none"/>
          <w:lang w:val="en-US" w:eastAsia="zh-CN"/>
        </w:rPr>
      </w:pPr>
      <w:r>
        <w:rPr>
          <w:rFonts w:hint="eastAsia" w:hAnsi="宋体" w:eastAsia="宋体" w:cs="宋体"/>
          <w:color w:val="auto"/>
          <w:sz w:val="24"/>
          <w:szCs w:val="24"/>
          <w:highlight w:val="none"/>
        </w:rPr>
        <w:t>4、招标文件售价：每个合同包</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u w:val="single"/>
          <w:lang w:val="en-US" w:eastAsia="zh-CN"/>
        </w:rPr>
        <w:t>50</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元人民币，售后不退。</w:t>
      </w:r>
      <w:r>
        <w:rPr>
          <w:rFonts w:hint="eastAsia" w:hAnsi="宋体" w:cs="宋体"/>
          <w:color w:val="auto"/>
          <w:kern w:val="0"/>
          <w:sz w:val="24"/>
          <w:szCs w:val="24"/>
          <w:highlight w:val="none"/>
          <w:lang w:val="en-US" w:eastAsia="zh-CN"/>
        </w:rPr>
        <w:t xml:space="preserve"> </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5、投标截止时间、地点：投标文件应于</w:t>
      </w:r>
      <w:r>
        <w:rPr>
          <w:rFonts w:hint="eastAsia" w:ascii="宋体" w:hAnsi="宋体" w:cs="宋体"/>
          <w:color w:val="auto"/>
          <w:sz w:val="24"/>
          <w:szCs w:val="24"/>
          <w:highlight w:val="none"/>
          <w:lang w:eastAsia="zh-CN"/>
        </w:rPr>
        <w:t>2024</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06</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06</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lang w:val="en-US" w:eastAsia="zh-CN"/>
        </w:rPr>
        <w:t>下</w:t>
      </w:r>
      <w:r>
        <w:rPr>
          <w:rFonts w:hint="eastAsia" w:ascii="宋体" w:hAnsi="宋体" w:eastAsia="宋体" w:cs="宋体"/>
          <w:color w:val="auto"/>
          <w:sz w:val="24"/>
          <w:szCs w:val="24"/>
          <w:highlight w:val="none"/>
        </w:rPr>
        <w:t>午</w:t>
      </w:r>
      <w:r>
        <w:rPr>
          <w:rFonts w:hint="eastAsia" w:ascii="宋体" w:hAnsi="宋体" w:cs="宋体"/>
          <w:color w:val="auto"/>
          <w:sz w:val="24"/>
          <w:szCs w:val="24"/>
          <w:highlight w:val="none"/>
          <w:lang w:val="en-US" w:eastAsia="zh-CN"/>
        </w:rPr>
        <w:t>13</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0（北京时间）之前提交到</w:t>
      </w:r>
      <w:r>
        <w:rPr>
          <w:rFonts w:hint="eastAsia" w:ascii="宋体" w:hAnsi="宋体" w:eastAsia="宋体" w:cs="宋体"/>
          <w:b/>
          <w:color w:val="auto"/>
          <w:sz w:val="24"/>
          <w:szCs w:val="24"/>
          <w:highlight w:val="none"/>
          <w:u w:val="single"/>
        </w:rPr>
        <w:t>厦门市湖里区云顶北路842号厦门市政务服务中心4楼信息发布大厅东侧收标处</w:t>
      </w:r>
      <w:r>
        <w:rPr>
          <w:rFonts w:hint="eastAsia" w:ascii="宋体" w:hAnsi="宋体" w:cs="宋体"/>
          <w:b/>
          <w:color w:val="auto"/>
          <w:sz w:val="24"/>
          <w:szCs w:val="24"/>
          <w:highlight w:val="none"/>
          <w:u w:val="single"/>
          <w:lang w:val="en-US" w:eastAsia="zh-CN"/>
        </w:rPr>
        <w:t>3</w:t>
      </w:r>
      <w:r>
        <w:rPr>
          <w:rFonts w:hint="eastAsia" w:ascii="宋体" w:hAnsi="宋体" w:eastAsia="宋体" w:cs="宋体"/>
          <w:b/>
          <w:color w:val="auto"/>
          <w:sz w:val="24"/>
          <w:szCs w:val="24"/>
          <w:highlight w:val="none"/>
          <w:u w:val="single"/>
        </w:rPr>
        <w:t>号收标窗口</w:t>
      </w:r>
      <w:r>
        <w:rPr>
          <w:rFonts w:hint="eastAsia" w:ascii="宋体" w:hAnsi="宋体" w:eastAsia="宋体" w:cs="宋体"/>
          <w:color w:val="auto"/>
          <w:sz w:val="24"/>
          <w:szCs w:val="24"/>
          <w:highlight w:val="none"/>
        </w:rPr>
        <w:t>。逾期收到的或不符合规定的投标文件将被拒绝。</w:t>
      </w:r>
    </w:p>
    <w:p>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6、开标时间、地点: </w:t>
      </w:r>
      <w:r>
        <w:rPr>
          <w:rFonts w:hint="eastAsia" w:ascii="宋体" w:hAnsi="宋体" w:cs="宋体"/>
          <w:color w:val="auto"/>
          <w:sz w:val="24"/>
          <w:szCs w:val="24"/>
          <w:highlight w:val="none"/>
          <w:lang w:eastAsia="zh-CN"/>
        </w:rPr>
        <w:t>2024</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06</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06</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lang w:val="en-US" w:eastAsia="zh-CN"/>
        </w:rPr>
        <w:t>下</w:t>
      </w:r>
      <w:r>
        <w:rPr>
          <w:rFonts w:hint="eastAsia" w:ascii="宋体" w:hAnsi="宋体" w:eastAsia="宋体" w:cs="宋体"/>
          <w:color w:val="auto"/>
          <w:sz w:val="24"/>
          <w:szCs w:val="24"/>
          <w:highlight w:val="none"/>
        </w:rPr>
        <w:t>午</w:t>
      </w:r>
      <w:r>
        <w:rPr>
          <w:rFonts w:hint="eastAsia" w:ascii="宋体" w:hAnsi="宋体" w:cs="宋体"/>
          <w:color w:val="auto"/>
          <w:sz w:val="24"/>
          <w:szCs w:val="24"/>
          <w:highlight w:val="none"/>
          <w:lang w:val="en-US" w:eastAsia="zh-CN"/>
        </w:rPr>
        <w:t>13</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0（北京时间）于</w:t>
      </w:r>
      <w:r>
        <w:rPr>
          <w:rFonts w:hint="eastAsia" w:ascii="宋体" w:hAnsi="宋体" w:cs="宋体"/>
          <w:b/>
          <w:color w:val="auto"/>
          <w:sz w:val="24"/>
          <w:szCs w:val="24"/>
          <w:highlight w:val="none"/>
          <w:u w:val="single"/>
        </w:rPr>
        <w:t>厦门市湖里区云顶北路842号厦门市行政服务中心4楼</w:t>
      </w:r>
      <w:r>
        <w:rPr>
          <w:rFonts w:hint="eastAsia" w:ascii="宋体" w:hAnsi="宋体" w:cs="宋体"/>
          <w:b/>
          <w:color w:val="auto"/>
          <w:sz w:val="24"/>
          <w:szCs w:val="24"/>
          <w:highlight w:val="none"/>
          <w:u w:val="single"/>
          <w:lang w:val="en-US" w:eastAsia="zh-CN"/>
        </w:rPr>
        <w:t>C</w:t>
      </w:r>
      <w:r>
        <w:rPr>
          <w:rFonts w:hint="eastAsia" w:ascii="宋体" w:hAnsi="宋体" w:cs="宋体"/>
          <w:b/>
          <w:color w:val="auto"/>
          <w:sz w:val="24"/>
          <w:szCs w:val="24"/>
          <w:highlight w:val="none"/>
          <w:u w:val="single"/>
        </w:rPr>
        <w:t>区开标室6（C404）</w:t>
      </w:r>
      <w:r>
        <w:rPr>
          <w:rFonts w:hint="eastAsia" w:ascii="宋体" w:hAnsi="宋体" w:eastAsia="宋体" w:cs="宋体"/>
          <w:color w:val="auto"/>
          <w:sz w:val="24"/>
          <w:szCs w:val="24"/>
          <w:highlight w:val="none"/>
        </w:rPr>
        <w:t>。</w:t>
      </w:r>
    </w:p>
    <w:p>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7、本项目（不接受）联合体投标。</w:t>
      </w:r>
    </w:p>
    <w:p>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8、招标文件如有变更，</w:t>
      </w:r>
      <w:r>
        <w:rPr>
          <w:rFonts w:hint="eastAsia" w:ascii="宋体" w:hAnsi="宋体" w:eastAsia="宋体" w:cs="宋体"/>
          <w:b/>
          <w:color w:val="auto"/>
          <w:sz w:val="24"/>
          <w:szCs w:val="24"/>
          <w:highlight w:val="none"/>
          <w:u w:val="single"/>
        </w:rPr>
        <w:t xml:space="preserve">厦门万翔招标有限公司 </w:t>
      </w:r>
      <w:r>
        <w:rPr>
          <w:rFonts w:hint="eastAsia" w:ascii="宋体" w:hAnsi="宋体" w:eastAsia="宋体" w:cs="宋体"/>
          <w:bCs/>
          <w:color w:val="auto"/>
          <w:sz w:val="24"/>
          <w:szCs w:val="24"/>
          <w:highlight w:val="none"/>
        </w:rPr>
        <w:t>将通过中国政府采购网、厦门招投标网（</w:t>
      </w:r>
      <w:r>
        <w:rPr>
          <w:rFonts w:hint="eastAsia" w:ascii="宋体" w:hAnsi="宋体" w:eastAsia="宋体" w:cs="宋体"/>
          <w:color w:val="auto"/>
          <w:sz w:val="24"/>
          <w:szCs w:val="24"/>
          <w:highlight w:val="none"/>
        </w:rPr>
        <w:t>www.xmztb.com</w:t>
      </w:r>
      <w:r>
        <w:rPr>
          <w:rFonts w:hint="eastAsia" w:ascii="宋体" w:hAnsi="宋体" w:eastAsia="宋体" w:cs="宋体"/>
          <w:bCs/>
          <w:color w:val="auto"/>
          <w:sz w:val="24"/>
          <w:szCs w:val="24"/>
          <w:highlight w:val="none"/>
        </w:rPr>
        <w:t>）等媒体发布通知信息，请投标人关注</w:t>
      </w:r>
      <w:r>
        <w:rPr>
          <w:rFonts w:hint="eastAsia" w:ascii="宋体" w:hAnsi="宋体" w:eastAsia="宋体" w:cs="宋体"/>
          <w:color w:val="auto"/>
          <w:sz w:val="24"/>
          <w:szCs w:val="24"/>
          <w:highlight w:val="none"/>
        </w:rPr>
        <w:t>。</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9、友情提醒：本项目仅限网上购买招标文件，</w:t>
      </w:r>
      <w:bookmarkStart w:id="1" w:name="_GoBack"/>
      <w:bookmarkEnd w:id="1"/>
      <w:r>
        <w:rPr>
          <w:rFonts w:hint="eastAsia" w:ascii="宋体" w:hAnsi="宋体" w:eastAsia="宋体" w:cs="宋体"/>
          <w:b/>
          <w:color w:val="auto"/>
          <w:sz w:val="24"/>
          <w:szCs w:val="24"/>
          <w:highlight w:val="none"/>
        </w:rPr>
        <w:t xml:space="preserve">投标人必须按招标文件要求递交纸质投标文件。 </w:t>
      </w:r>
    </w:p>
    <w:p>
      <w:pPr>
        <w:spacing w:line="360" w:lineRule="auto"/>
        <w:ind w:firstLine="240" w:firstLineChars="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10、投标人对本次招标活动事项提出疑问的，请在投标截止时间十五日之前，与招标代理机构联系。来函请加盖单位公章，并提供联系人、联系电话及传真号码。</w:t>
      </w:r>
    </w:p>
    <w:p>
      <w:pPr>
        <w:spacing w:line="360" w:lineRule="auto"/>
        <w:ind w:firstLine="361" w:firstLineChars="15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11、为方便开标唱标，投标人应将开标一览表原件和投标保证金缴交凭证单独密封，并在信封上标明“开标一览表”字样，然后再装入投标文件密封袋中密封。</w:t>
      </w:r>
    </w:p>
    <w:p>
      <w:pPr>
        <w:tabs>
          <w:tab w:val="left" w:pos="1140"/>
        </w:tabs>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12、各有关联系方式</w:t>
      </w:r>
    </w:p>
    <w:tbl>
      <w:tblPr>
        <w:tblStyle w:val="14"/>
        <w:tblW w:w="988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14"/>
        <w:gridCol w:w="1409"/>
        <w:gridCol w:w="1239"/>
        <w:gridCol w:w="3348"/>
        <w:gridCol w:w="29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4" w:hRule="atLeast"/>
          <w:jc w:val="center"/>
        </w:trPr>
        <w:tc>
          <w:tcPr>
            <w:tcW w:w="914"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序号</w:t>
            </w:r>
          </w:p>
        </w:tc>
        <w:tc>
          <w:tcPr>
            <w:tcW w:w="140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分工</w:t>
            </w:r>
          </w:p>
        </w:tc>
        <w:tc>
          <w:tcPr>
            <w:tcW w:w="123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联系人</w:t>
            </w:r>
          </w:p>
        </w:tc>
        <w:tc>
          <w:tcPr>
            <w:tcW w:w="3348"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职责范围</w:t>
            </w:r>
          </w:p>
        </w:tc>
        <w:tc>
          <w:tcPr>
            <w:tcW w:w="2976"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联系电话</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40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项目经办</w:t>
            </w:r>
          </w:p>
        </w:tc>
        <w:tc>
          <w:tcPr>
            <w:tcW w:w="123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卢小姐</w:t>
            </w:r>
          </w:p>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黄小姐</w:t>
            </w:r>
          </w:p>
        </w:tc>
        <w:tc>
          <w:tcPr>
            <w:tcW w:w="334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负责招标文件的咨询、答疑等工作</w:t>
            </w:r>
          </w:p>
        </w:tc>
        <w:tc>
          <w:tcPr>
            <w:tcW w:w="2976" w:type="dxa"/>
            <w:noWrap w:val="0"/>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0592-</w:t>
            </w:r>
            <w:r>
              <w:rPr>
                <w:rFonts w:hint="eastAsia" w:ascii="宋体" w:hAnsi="宋体" w:cs="宋体"/>
                <w:color w:val="auto"/>
                <w:sz w:val="24"/>
                <w:szCs w:val="24"/>
                <w:highlight w:val="none"/>
                <w:lang w:val="en-US" w:eastAsia="zh-CN"/>
              </w:rPr>
              <w:t>5701518、5721295</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传真0592-5706660-6969</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140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投标保证金</w:t>
            </w:r>
          </w:p>
        </w:tc>
        <w:tc>
          <w:tcPr>
            <w:tcW w:w="123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陈小姐</w:t>
            </w:r>
          </w:p>
        </w:tc>
        <w:tc>
          <w:tcPr>
            <w:tcW w:w="334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投标保证金收、退</w:t>
            </w:r>
          </w:p>
        </w:tc>
        <w:tc>
          <w:tcPr>
            <w:tcW w:w="2976"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0592-5703367</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3</w:t>
            </w:r>
          </w:p>
        </w:tc>
        <w:tc>
          <w:tcPr>
            <w:tcW w:w="140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代理服务费</w:t>
            </w:r>
          </w:p>
        </w:tc>
        <w:tc>
          <w:tcPr>
            <w:tcW w:w="123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陈小姐</w:t>
            </w:r>
          </w:p>
        </w:tc>
        <w:tc>
          <w:tcPr>
            <w:tcW w:w="334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收取</w:t>
            </w:r>
          </w:p>
        </w:tc>
        <w:tc>
          <w:tcPr>
            <w:tcW w:w="2976"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w:t>
            </w:r>
            <w:r>
              <w:rPr>
                <w:rFonts w:hint="eastAsia" w:ascii="宋体" w:hAnsi="宋体" w:eastAsia="宋体" w:cs="宋体"/>
                <w:color w:val="auto"/>
                <w:sz w:val="24"/>
                <w:szCs w:val="24"/>
                <w:highlight w:val="none"/>
              </w:rPr>
              <w:t xml:space="preserve"> </w:t>
            </w:r>
            <w:r>
              <w:rPr>
                <w:rFonts w:hint="eastAsia" w:ascii="宋体" w:hAnsi="宋体" w:eastAsia="宋体" w:cs="宋体"/>
                <w:color w:val="auto"/>
                <w:kern w:val="0"/>
                <w:sz w:val="24"/>
                <w:szCs w:val="24"/>
                <w:highlight w:val="none"/>
              </w:rPr>
              <w:t>5703367</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4</w:t>
            </w:r>
          </w:p>
        </w:tc>
        <w:tc>
          <w:tcPr>
            <w:tcW w:w="140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监督</w:t>
            </w:r>
          </w:p>
        </w:tc>
        <w:tc>
          <w:tcPr>
            <w:tcW w:w="123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黄经理</w:t>
            </w:r>
          </w:p>
        </w:tc>
        <w:tc>
          <w:tcPr>
            <w:tcW w:w="334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欢迎投标人对项目采购过程中公告发布、招标文件购买、投标保证金缴交和退还、</w:t>
            </w:r>
            <w:r>
              <w:rPr>
                <w:rFonts w:hint="eastAsia" w:ascii="宋体" w:hAnsi="宋体" w:eastAsia="宋体" w:cs="宋体"/>
                <w:b/>
                <w:color w:val="auto"/>
                <w:sz w:val="24"/>
                <w:szCs w:val="24"/>
                <w:highlight w:val="none"/>
                <w:lang w:eastAsia="zh-CN"/>
              </w:rPr>
              <w:t>代理服务费</w:t>
            </w:r>
            <w:r>
              <w:rPr>
                <w:rFonts w:hint="eastAsia" w:ascii="宋体" w:hAnsi="宋体" w:eastAsia="宋体" w:cs="宋体"/>
                <w:b/>
                <w:color w:val="auto"/>
                <w:sz w:val="24"/>
                <w:szCs w:val="24"/>
                <w:highlight w:val="none"/>
              </w:rPr>
              <w:t>收取、中标通知书发放等环节的服务进行监督。我们将竭诚为您提供最优质的服务。</w:t>
            </w:r>
          </w:p>
        </w:tc>
        <w:tc>
          <w:tcPr>
            <w:tcW w:w="2976"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0592-5705656</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5</w:t>
            </w:r>
          </w:p>
        </w:tc>
        <w:tc>
          <w:tcPr>
            <w:tcW w:w="140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接收质疑</w:t>
            </w:r>
          </w:p>
        </w:tc>
        <w:tc>
          <w:tcPr>
            <w:tcW w:w="1239"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刘经理</w:t>
            </w:r>
          </w:p>
        </w:tc>
        <w:tc>
          <w:tcPr>
            <w:tcW w:w="3348"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rPr>
            </w:pPr>
            <w:r>
              <w:rPr>
                <w:rFonts w:hint="eastAsia" w:ascii="宋体" w:hAnsi="宋体" w:eastAsia="宋体" w:cs="宋体"/>
                <w:color w:val="auto"/>
                <w:kern w:val="0"/>
                <w:sz w:val="24"/>
                <w:szCs w:val="24"/>
                <w:highlight w:val="none"/>
              </w:rPr>
              <w:t>负责接收质疑</w:t>
            </w:r>
          </w:p>
        </w:tc>
        <w:tc>
          <w:tcPr>
            <w:tcW w:w="2976"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电话0592-2218761</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传真0592-5706660-6969</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"mailto:邮箱hcq@iport.com.cn"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邮箱lmf@iport.com.cn</w:t>
            </w:r>
            <w:r>
              <w:rPr>
                <w:rFonts w:hint="eastAsia" w:ascii="宋体" w:hAnsi="宋体" w:eastAsia="宋体" w:cs="宋体"/>
                <w:color w:val="auto"/>
                <w:sz w:val="24"/>
                <w:szCs w:val="24"/>
                <w:highlight w:val="none"/>
              </w:rPr>
              <w:fldChar w:fldCharType="end"/>
            </w:r>
          </w:p>
          <w:p>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通讯地址：厦门市湖里区机场北路476号4楼</w:t>
            </w:r>
          </w:p>
        </w:tc>
      </w:tr>
    </w:tbl>
    <w:p>
      <w:pPr>
        <w:tabs>
          <w:tab w:val="left" w:pos="114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13、投标保证金及</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缴交账户：</w:t>
      </w:r>
    </w:p>
    <w:tbl>
      <w:tblPr>
        <w:tblStyle w:val="14"/>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26"/>
        <w:gridCol w:w="3240"/>
        <w:gridCol w:w="460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326"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类   别</w:t>
            </w:r>
          </w:p>
        </w:tc>
        <w:tc>
          <w:tcPr>
            <w:tcW w:w="324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投标保证金缴交账户</w:t>
            </w:r>
          </w:p>
        </w:tc>
        <w:tc>
          <w:tcPr>
            <w:tcW w:w="4602"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代理服务费</w:t>
            </w:r>
            <w:r>
              <w:rPr>
                <w:rFonts w:hint="eastAsia" w:ascii="宋体" w:hAnsi="宋体" w:eastAsia="宋体" w:cs="宋体"/>
                <w:b/>
                <w:color w:val="auto"/>
                <w:sz w:val="24"/>
                <w:szCs w:val="24"/>
                <w:highlight w:val="none"/>
              </w:rPr>
              <w:t>缴交账户</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5" w:hRule="atLeast"/>
          <w:jc w:val="center"/>
        </w:trPr>
        <w:tc>
          <w:tcPr>
            <w:tcW w:w="1326"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 户 行</w:t>
            </w:r>
          </w:p>
        </w:tc>
        <w:tc>
          <w:tcPr>
            <w:tcW w:w="324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default" w:ascii="宋体" w:hAnsi="宋体" w:cs="宋体"/>
                <w:color w:val="auto"/>
                <w:sz w:val="24"/>
                <w:szCs w:val="24"/>
                <w:highlight w:val="none"/>
              </w:rPr>
              <w:t>/</w:t>
            </w:r>
          </w:p>
        </w:tc>
        <w:tc>
          <w:tcPr>
            <w:tcW w:w="4602"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中国建设银行股份有限公司厦门自贸试验区航空港支行</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p>
        </w:tc>
        <w:tc>
          <w:tcPr>
            <w:tcW w:w="324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default" w:ascii="宋体" w:hAnsi="宋体" w:cs="宋体"/>
                <w:color w:val="auto"/>
                <w:sz w:val="24"/>
                <w:szCs w:val="24"/>
                <w:highlight w:val="none"/>
              </w:rPr>
              <w:t>/</w:t>
            </w:r>
          </w:p>
        </w:tc>
        <w:tc>
          <w:tcPr>
            <w:tcW w:w="4602"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35101570201052504219</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户名</w:t>
            </w:r>
          </w:p>
        </w:tc>
        <w:tc>
          <w:tcPr>
            <w:tcW w:w="7842" w:type="dxa"/>
            <w:gridSpan w:val="2"/>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厦门万翔招标有限公司</w:t>
            </w:r>
          </w:p>
        </w:tc>
      </w:tr>
    </w:tbl>
    <w:p>
      <w:pPr>
        <w:tabs>
          <w:tab w:val="left" w:pos="1140"/>
        </w:tabs>
        <w:spacing w:line="360" w:lineRule="auto"/>
        <w:ind w:firstLine="560"/>
        <w:rPr>
          <w:rFonts w:hint="eastAsia" w:ascii="宋体" w:hAnsi="宋体" w:eastAsia="宋体" w:cs="宋体"/>
          <w:color w:val="auto"/>
          <w:sz w:val="24"/>
          <w:szCs w:val="24"/>
          <w:highlight w:val="none"/>
        </w:rPr>
      </w:pPr>
    </w:p>
    <w:p>
      <w:pPr>
        <w:spacing w:line="36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注：投标人须将相关的费用缴交至上表对应的账号，缴错账号而产生的一切后果由投标人自行承担。</w:t>
      </w:r>
    </w:p>
    <w:p>
      <w:pPr>
        <w:spacing w:line="360" w:lineRule="auto"/>
        <w:ind w:firstLine="360"/>
        <w:rPr>
          <w:rFonts w:hint="eastAsia" w:ascii="宋体" w:hAnsi="宋体" w:eastAsia="宋体" w:cs="宋体"/>
          <w:b/>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招标代理机构：厦门万翔招标有限公司</w:t>
      </w:r>
    </w:p>
    <w:p>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址：厦门市湖里区机场北路476号四楼 </w:t>
      </w:r>
    </w:p>
    <w:p>
      <w:pPr>
        <w:tabs>
          <w:tab w:val="left" w:pos="2775"/>
        </w:tabs>
        <w:spacing w:line="360" w:lineRule="auto"/>
        <w:ind w:firstLine="46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 361006</w:t>
      </w:r>
    </w:p>
    <w:p>
      <w:pPr>
        <w:spacing w:line="360" w:lineRule="auto"/>
        <w:ind w:firstLine="480" w:firstLineChars="200"/>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rPr>
        <w:t>合同款项事宜联系人：</w:t>
      </w:r>
      <w:r>
        <w:rPr>
          <w:rFonts w:hint="eastAsia" w:ascii="宋体" w:hAnsi="宋体" w:cs="宋体"/>
          <w:color w:val="auto"/>
          <w:kern w:val="0"/>
          <w:sz w:val="24"/>
          <w:szCs w:val="24"/>
          <w:highlight w:val="none"/>
          <w:lang w:val="en-US" w:eastAsia="zh-CN"/>
        </w:rPr>
        <w:t>陈先生0592-5706825</w:t>
      </w:r>
    </w:p>
    <w:p>
      <w:pPr>
        <w:pStyle w:val="12"/>
        <w:rPr>
          <w:rFonts w:hint="eastAsia"/>
          <w:color w:val="auto"/>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tabs>
          <w:tab w:val="left" w:pos="2775"/>
        </w:tabs>
        <w:spacing w:line="360" w:lineRule="auto"/>
        <w:ind w:firstLine="465"/>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附：招标货物(服务)一览表</w:t>
      </w: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招标货物（服务）一览表</w:t>
      </w:r>
    </w:p>
    <w:tbl>
      <w:tblPr>
        <w:tblStyle w:val="14"/>
        <w:tblW w:w="10345" w:type="dxa"/>
        <w:tblInd w:w="-7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952"/>
        <w:gridCol w:w="1716"/>
        <w:gridCol w:w="900"/>
        <w:gridCol w:w="1620"/>
        <w:gridCol w:w="1080"/>
        <w:gridCol w:w="1440"/>
        <w:gridCol w:w="1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合同包</w:t>
            </w:r>
          </w:p>
        </w:tc>
        <w:tc>
          <w:tcPr>
            <w:tcW w:w="952"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品目号</w:t>
            </w:r>
          </w:p>
        </w:tc>
        <w:tc>
          <w:tcPr>
            <w:tcW w:w="1716"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货物名称</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数量</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主要技术规格</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交货地点</w:t>
            </w:r>
          </w:p>
        </w:tc>
        <w:tc>
          <w:tcPr>
            <w:tcW w:w="1440"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交付使用期</w:t>
            </w:r>
          </w:p>
        </w:tc>
        <w:tc>
          <w:tcPr>
            <w:tcW w:w="1419"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使用单位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218"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XM2024-DZ0019</w:t>
            </w:r>
          </w:p>
        </w:tc>
        <w:tc>
          <w:tcPr>
            <w:tcW w:w="952"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1-1</w:t>
            </w:r>
          </w:p>
        </w:tc>
        <w:tc>
          <w:tcPr>
            <w:tcW w:w="17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组合家具（墩上学校）</w:t>
            </w:r>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1批</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详见招标内容及要求</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使用单位指定地点</w:t>
            </w:r>
          </w:p>
        </w:tc>
        <w:tc>
          <w:tcPr>
            <w:tcW w:w="1440"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leftChars="0" w:right="0" w:rightChars="0"/>
              <w:rPr>
                <w:rFonts w:hint="eastAsia" w:ascii="宋体" w:hAnsi="宋体" w:eastAsia="宋体" w:cs="宋体"/>
                <w:b w:val="0"/>
                <w:bCs w:val="0"/>
                <w:color w:val="auto"/>
                <w:kern w:val="2"/>
                <w:sz w:val="24"/>
                <w:szCs w:val="24"/>
                <w:highlight w:val="none"/>
                <w:lang w:val="en-US" w:eastAsia="zh-CN" w:bidi="ar-SA"/>
                <w14:shadow w14:blurRad="50800" w14:dist="38100" w14:dir="2700000" w14:sx="100000" w14:sy="100000" w14:kx="0" w14:ky="0" w14:algn="tl">
                  <w14:srgbClr w14:val="000000">
                    <w14:alpha w14:val="60000"/>
                  </w14:srgbClr>
                </w14:shadow>
              </w:rPr>
            </w:pPr>
            <w:r>
              <w:rPr>
                <w:rFonts w:hint="eastAsia" w:ascii="宋体" w:hAnsi="宋体" w:eastAsia="宋体" w:cs="宋体"/>
                <w:b w:val="0"/>
                <w:bCs w:val="0"/>
                <w:color w:val="auto"/>
                <w:kern w:val="2"/>
                <w:sz w:val="24"/>
                <w:szCs w:val="24"/>
                <w:highlight w:val="none"/>
                <w:lang w:val="en-US" w:eastAsia="zh-CN" w:bidi="ar-SA"/>
              </w:rPr>
              <w:t>详见招标内容及要求</w:t>
            </w:r>
          </w:p>
        </w:tc>
        <w:tc>
          <w:tcPr>
            <w:tcW w:w="1419" w:type="dxa"/>
            <w:tcBorders>
              <w:top w:val="single" w:color="auto" w:sz="4" w:space="0"/>
              <w:left w:val="single" w:color="auto" w:sz="4" w:space="0"/>
              <w:bottom w:val="single" w:color="auto" w:sz="4" w:space="0"/>
              <w:right w:val="single" w:color="auto" w:sz="4" w:space="0"/>
            </w:tcBorders>
            <w:noWrap w:val="0"/>
            <w:vAlign w:val="center"/>
          </w:tcPr>
          <w:p>
            <w:pPr>
              <w:pStyle w:val="3"/>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厦门市蔡塘学校</w:t>
            </w:r>
          </w:p>
        </w:tc>
      </w:tr>
    </w:tbl>
    <w:p>
      <w:pPr>
        <w:pStyle w:val="5"/>
        <w:tabs>
          <w:tab w:val="left" w:pos="8360"/>
        </w:tabs>
        <w:spacing w:line="360" w:lineRule="auto"/>
        <w:jc w:val="left"/>
        <w:rPr>
          <w:rFonts w:hint="eastAsia" w:hAnsi="宋体" w:eastAsia="宋体" w:cs="宋体"/>
          <w:color w:val="auto"/>
          <w:sz w:val="24"/>
          <w:szCs w:val="24"/>
          <w:highlight w:val="none"/>
        </w:rPr>
      </w:pPr>
    </w:p>
    <w:p>
      <w:pPr>
        <w:pStyle w:val="5"/>
        <w:tabs>
          <w:tab w:val="left" w:pos="8360"/>
        </w:tabs>
        <w:spacing w:line="360" w:lineRule="auto"/>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注：投标人可按合同包投标，对同一合同包内所有品目号内容投标时必须完整。评标与授标以合同包为单位。</w:t>
      </w:r>
    </w:p>
    <w:p>
      <w:pPr>
        <w:pStyle w:val="5"/>
        <w:tabs>
          <w:tab w:val="left" w:pos="8360"/>
        </w:tabs>
        <w:spacing w:line="360" w:lineRule="auto"/>
        <w:jc w:val="left"/>
        <w:rPr>
          <w:rFonts w:hint="eastAsia" w:hAnsi="宋体" w:eastAsia="宋体" w:cs="宋体"/>
          <w:color w:val="auto"/>
          <w:sz w:val="24"/>
          <w:szCs w:val="24"/>
          <w:highlight w:val="none"/>
        </w:rPr>
      </w:pPr>
    </w:p>
    <w:p>
      <w:pPr>
        <w:pStyle w:val="2"/>
        <w:spacing w:line="360" w:lineRule="auto"/>
        <w:ind w:firstLine="0"/>
        <w:rPr>
          <w:rFonts w:hint="eastAsia" w:ascii="宋体" w:hAnsi="宋体" w:eastAsia="宋体" w:cs="宋体"/>
          <w:b/>
          <w:color w:val="auto"/>
          <w:sz w:val="24"/>
          <w:szCs w:val="24"/>
          <w:highlight w:val="none"/>
        </w:rPr>
        <w:sectPr>
          <w:footerReference r:id="rId6" w:type="default"/>
          <w:pgSz w:w="11906" w:h="16838"/>
          <w:pgMar w:top="1440" w:right="1106" w:bottom="1290" w:left="1800" w:header="851" w:footer="992" w:gutter="0"/>
          <w:pgBorders>
            <w:top w:val="none" w:sz="0" w:space="0"/>
            <w:left w:val="none" w:sz="0" w:space="0"/>
            <w:bottom w:val="none" w:sz="0" w:space="0"/>
            <w:right w:val="none" w:sz="0" w:space="0"/>
          </w:pgBorders>
          <w:pgNumType w:start="1"/>
          <w:cols w:space="720" w:num="1"/>
          <w:docGrid w:type="lines" w:linePitch="312" w:charSpace="0"/>
        </w:sectPr>
      </w:pPr>
    </w:p>
    <w:p>
      <w:pPr>
        <w:pStyle w:val="39"/>
        <w:spacing w:line="360" w:lineRule="auto"/>
        <w:jc w:val="center"/>
        <w:rPr>
          <w:rFonts w:hint="eastAsia" w:hAnsi="宋体" w:eastAsia="宋体" w:cs="宋体"/>
          <w:b/>
          <w:color w:val="auto"/>
          <w:sz w:val="32"/>
          <w:szCs w:val="32"/>
          <w:highlight w:val="none"/>
        </w:rPr>
      </w:pPr>
      <w:r>
        <w:rPr>
          <w:rFonts w:hint="eastAsia" w:hAnsi="宋体" w:eastAsia="宋体" w:cs="宋体"/>
          <w:b/>
          <w:color w:val="auto"/>
          <w:sz w:val="32"/>
          <w:szCs w:val="32"/>
          <w:highlight w:val="none"/>
        </w:rPr>
        <w:t>第二章  投标人须知</w:t>
      </w:r>
    </w:p>
    <w:p>
      <w:pPr>
        <w:pStyle w:val="39"/>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投标人须知前附表1</w:t>
      </w:r>
    </w:p>
    <w:p>
      <w:pPr>
        <w:spacing w:line="360" w:lineRule="auto"/>
        <w:ind w:firstLine="5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本须知前附表1的条款号是与</w:t>
      </w:r>
      <w:r>
        <w:rPr>
          <w:rFonts w:hint="default" w:ascii="宋体" w:hAnsi="宋体" w:cs="宋体"/>
          <w:color w:val="auto"/>
          <w:sz w:val="24"/>
          <w:szCs w:val="24"/>
          <w:highlight w:val="none"/>
        </w:rPr>
        <w:t>固定部分第二章</w:t>
      </w:r>
      <w:r>
        <w:rPr>
          <w:rFonts w:hint="eastAsia" w:ascii="宋体" w:hAnsi="宋体" w:eastAsia="宋体" w:cs="宋体"/>
          <w:color w:val="auto"/>
          <w:sz w:val="24"/>
          <w:szCs w:val="24"/>
          <w:highlight w:val="none"/>
        </w:rPr>
        <w:t xml:space="preserve">《投标人须知》中条款的项号相对应的。如有矛盾，应以本须知前附表为准。 </w:t>
      </w:r>
    </w:p>
    <w:tbl>
      <w:tblPr>
        <w:tblStyle w:val="14"/>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7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noWrap w:val="0"/>
            <w:vAlign w:val="top"/>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项号</w:t>
            </w:r>
          </w:p>
        </w:tc>
        <w:tc>
          <w:tcPr>
            <w:tcW w:w="1080" w:type="dxa"/>
            <w:noWrap w:val="0"/>
            <w:vAlign w:val="top"/>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7380" w:type="dxa"/>
            <w:noWrap w:val="0"/>
            <w:vAlign w:val="top"/>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08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7380"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项目名称： </w:t>
            </w:r>
            <w:r>
              <w:rPr>
                <w:rFonts w:hint="eastAsia" w:ascii="宋体" w:hAnsi="宋体" w:eastAsia="宋体" w:cs="宋体"/>
                <w:b w:val="0"/>
                <w:bCs w:val="0"/>
                <w:color w:val="auto"/>
                <w:kern w:val="2"/>
                <w:sz w:val="24"/>
                <w:szCs w:val="24"/>
                <w:highlight w:val="none"/>
                <w:lang w:val="en-US" w:eastAsia="zh-CN" w:bidi="ar-SA"/>
              </w:rPr>
              <w:t>组合家具（墩上学校）</w:t>
            </w:r>
          </w:p>
          <w:p>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rPr>
            </w:pPr>
            <w:r>
              <w:rPr>
                <w:rFonts w:hint="eastAsia" w:ascii="宋体" w:hAnsi="宋体" w:cs="宋体"/>
                <w:color w:val="auto"/>
                <w:sz w:val="24"/>
                <w:szCs w:val="24"/>
                <w:highlight w:val="none"/>
              </w:rPr>
              <w:t>采购单位名称：厦门万翔网络商务有限公司</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采购单位地址：厦门市湖里区机场北路476号五楼</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项目内容： </w:t>
            </w:r>
            <w:r>
              <w:rPr>
                <w:rFonts w:hint="eastAsia" w:ascii="宋体" w:hAnsi="宋体" w:eastAsia="宋体" w:cs="宋体"/>
                <w:b w:val="0"/>
                <w:bCs w:val="0"/>
                <w:color w:val="auto"/>
                <w:kern w:val="2"/>
                <w:sz w:val="24"/>
                <w:szCs w:val="24"/>
                <w:highlight w:val="none"/>
                <w:lang w:val="en-US" w:eastAsia="zh-CN" w:bidi="ar-SA"/>
              </w:rPr>
              <w:t>组合家具（墩上学校）</w:t>
            </w:r>
          </w:p>
          <w:p>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XM</w:t>
            </w:r>
            <w:r>
              <w:rPr>
                <w:rFonts w:hint="eastAsia" w:ascii="宋体" w:hAnsi="宋体" w:cs="宋体"/>
                <w:color w:val="auto"/>
                <w:sz w:val="24"/>
                <w:szCs w:val="24"/>
                <w:highlight w:val="none"/>
                <w:u w:val="single"/>
                <w:lang w:eastAsia="zh-CN"/>
              </w:rPr>
              <w:t>2024</w:t>
            </w:r>
            <w:r>
              <w:rPr>
                <w:rFonts w:hint="eastAsia" w:ascii="宋体" w:hAnsi="宋体" w:eastAsia="宋体" w:cs="宋体"/>
                <w:color w:val="auto"/>
                <w:sz w:val="24"/>
                <w:szCs w:val="24"/>
                <w:highlight w:val="none"/>
                <w:u w:val="single"/>
              </w:rPr>
              <w:t>-DZ</w:t>
            </w:r>
            <w:r>
              <w:rPr>
                <w:rFonts w:hint="eastAsia" w:ascii="宋体" w:hAnsi="宋体" w:eastAsia="宋体" w:cs="宋体"/>
                <w:color w:val="auto"/>
                <w:sz w:val="24"/>
                <w:szCs w:val="24"/>
                <w:highlight w:val="none"/>
                <w:u w:val="single"/>
                <w:lang w:val="en-US" w:eastAsia="zh-CN"/>
              </w:rPr>
              <w:t>0</w:t>
            </w:r>
            <w:r>
              <w:rPr>
                <w:rFonts w:hint="eastAsia" w:ascii="宋体" w:hAnsi="宋体" w:cs="宋体"/>
                <w:color w:val="auto"/>
                <w:sz w:val="24"/>
                <w:szCs w:val="24"/>
                <w:highlight w:val="none"/>
                <w:u w:val="single"/>
                <w:lang w:val="en-US" w:eastAsia="zh-CN"/>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90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08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7380"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资格标准：</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详见第二章《投标人须知》第3条，以及第三章《招标内容及要求》有关内容。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08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7380"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投标有效期：投标截止之日起</w:t>
            </w:r>
            <w:r>
              <w:rPr>
                <w:rFonts w:hint="eastAsia" w:ascii="宋体" w:hAnsi="宋体" w:eastAsia="宋体" w:cs="宋体"/>
                <w:color w:val="auto"/>
                <w:sz w:val="24"/>
                <w:szCs w:val="24"/>
                <w:highlight w:val="none"/>
                <w:u w:val="single"/>
              </w:rPr>
              <w:t>90</w:t>
            </w:r>
            <w:r>
              <w:rPr>
                <w:rFonts w:hint="eastAsia" w:ascii="宋体" w:hAnsi="宋体" w:eastAsia="宋体" w:cs="宋体"/>
                <w:color w:val="auto"/>
                <w:sz w:val="24"/>
                <w:szCs w:val="24"/>
                <w:highlight w:val="none"/>
              </w:rPr>
              <w:t>个日历日。</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有效期不足将导致其投标文件被拒绝。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08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noWrap w:val="0"/>
            <w:vAlign w:val="center"/>
          </w:tcPr>
          <w:p>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b/>
                <w:color w:val="auto"/>
                <w:sz w:val="24"/>
                <w:szCs w:val="24"/>
                <w:highlight w:val="none"/>
                <w:u w:val="single"/>
              </w:rPr>
            </w:pPr>
            <w:r>
              <w:rPr>
                <w:rFonts w:hint="eastAsia" w:ascii="宋体" w:hAnsi="宋体" w:eastAsia="宋体" w:cs="宋体"/>
                <w:color w:val="auto"/>
                <w:kern w:val="0"/>
                <w:sz w:val="24"/>
                <w:szCs w:val="24"/>
                <w:highlight w:val="none"/>
              </w:rPr>
              <w:t>投标文件递交地址：</w:t>
            </w:r>
            <w:r>
              <w:rPr>
                <w:rFonts w:hint="eastAsia" w:ascii="宋体" w:hAnsi="宋体" w:cs="宋体"/>
                <w:b/>
                <w:color w:val="auto"/>
                <w:sz w:val="24"/>
                <w:szCs w:val="24"/>
                <w:highlight w:val="none"/>
                <w:u w:val="single"/>
              </w:rPr>
              <w:t>厦门市湖里区云顶北路842号厦门市政务服务中心4楼信息发布大厅东侧收标处</w:t>
            </w:r>
            <w:r>
              <w:rPr>
                <w:rFonts w:hint="eastAsia" w:ascii="宋体" w:hAnsi="宋体" w:cs="宋体"/>
                <w:b/>
                <w:color w:val="auto"/>
                <w:sz w:val="24"/>
                <w:szCs w:val="24"/>
                <w:highlight w:val="none"/>
                <w:u w:val="single"/>
                <w:lang w:val="en-US" w:eastAsia="zh-CN"/>
              </w:rPr>
              <w:t>3</w:t>
            </w:r>
            <w:r>
              <w:rPr>
                <w:rFonts w:hint="eastAsia" w:ascii="宋体" w:hAnsi="宋体" w:cs="宋体"/>
                <w:b/>
                <w:color w:val="auto"/>
                <w:sz w:val="24"/>
                <w:szCs w:val="24"/>
                <w:highlight w:val="none"/>
                <w:u w:val="single"/>
              </w:rPr>
              <w:t>号收标窗口</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接收人：卢</w:t>
            </w:r>
            <w:r>
              <w:rPr>
                <w:rFonts w:hint="eastAsia" w:ascii="宋体" w:hAnsi="宋体" w:cs="宋体"/>
                <w:color w:val="auto"/>
                <w:kern w:val="0"/>
                <w:sz w:val="24"/>
                <w:szCs w:val="24"/>
                <w:highlight w:val="none"/>
                <w:lang w:val="en-US" w:eastAsia="zh-CN"/>
              </w:rPr>
              <w:t>小姐、</w:t>
            </w:r>
            <w:r>
              <w:rPr>
                <w:rFonts w:hint="eastAsia" w:ascii="宋体" w:hAnsi="宋体" w:eastAsia="宋体" w:cs="宋体"/>
                <w:color w:val="auto"/>
                <w:kern w:val="0"/>
                <w:sz w:val="24"/>
                <w:szCs w:val="24"/>
                <w:highlight w:val="none"/>
              </w:rPr>
              <w:t>黄小姐</w:t>
            </w:r>
            <w:r>
              <w:rPr>
                <w:rFonts w:hint="eastAsia" w:ascii="宋体" w:hAnsi="宋体" w:eastAsia="宋体" w:cs="宋体"/>
                <w:color w:val="auto"/>
                <w:sz w:val="24"/>
                <w:szCs w:val="24"/>
                <w:highlight w:val="none"/>
              </w:rPr>
              <w:t>0592-</w:t>
            </w:r>
            <w:r>
              <w:rPr>
                <w:rFonts w:hint="eastAsia" w:ascii="宋体" w:hAnsi="宋体" w:cs="宋体"/>
                <w:color w:val="auto"/>
                <w:sz w:val="24"/>
                <w:szCs w:val="24"/>
                <w:highlight w:val="none"/>
                <w:lang w:val="en-US" w:eastAsia="zh-CN"/>
              </w:rPr>
              <w:t>5701518、5721295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08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7380"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r>
              <w:rPr>
                <w:rFonts w:hint="eastAsia" w:ascii="宋体" w:hAnsi="宋体" w:eastAsia="宋体" w:cs="宋体"/>
                <w:color w:val="auto"/>
                <w:sz w:val="24"/>
                <w:szCs w:val="24"/>
                <w:highlight w:val="none"/>
                <w:u w:val="single"/>
              </w:rPr>
              <w:t xml:space="preserve">   0元       </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①投标保证金以转账、电汇两种形式提交（不收取现金、现金支票，不能用个人卡在银联支付系统转账，否则作未提交投标保证金处理）。</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②若项目存在分合同包采购的，则投标保证金应按不同的合同包号分别提交。</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③投标人为中小企业的，其投标保证金减半交纳。减半交纳投标保证金的投标人应按照招标文件格式要求在投标文件中提供《中小企业声明函》。</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④</w:t>
            </w:r>
            <w:r>
              <w:rPr>
                <w:rFonts w:hint="eastAsia" w:ascii="宋体" w:hAnsi="宋体" w:eastAsia="宋体" w:cs="宋体"/>
                <w:color w:val="auto"/>
                <w:kern w:val="0"/>
                <w:sz w:val="24"/>
                <w:szCs w:val="24"/>
                <w:highlight w:val="none"/>
              </w:rPr>
              <w:t>投标保证金应在投标截止时间前到账。</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未按前述规定缴交投标保证金的，投标无效。</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⑤投标保证金按投标人缴交账号原路退回，遇投标人账号变更、非投标保证金款项误转进投标保证金专户等特殊情况确实无法原路退回的，需经同级政府采购监管部门核实后方可退回。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08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w:t>
            </w:r>
          </w:p>
        </w:tc>
        <w:tc>
          <w:tcPr>
            <w:tcW w:w="7380"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投标文件份数：正本一份、副本四份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108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w:t>
            </w:r>
          </w:p>
        </w:tc>
        <w:tc>
          <w:tcPr>
            <w:tcW w:w="7380"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评标方法、标准及定标原则(含推荐中标候选供应商数量)：</w:t>
            </w:r>
          </w:p>
          <w:p>
            <w:pPr>
              <w:pStyle w:val="5"/>
              <w:keepNext w:val="0"/>
              <w:keepLines w:val="0"/>
              <w:suppressLineNumbers w:val="0"/>
              <w:spacing w:before="0" w:beforeAutospacing="0" w:after="0" w:afterAutospacing="0" w:line="360" w:lineRule="auto"/>
              <w:ind w:left="0" w:right="0"/>
              <w:rPr>
                <w:rFonts w:hint="eastAsia" w:hAnsi="宋体" w:eastAsia="宋体" w:cs="宋体"/>
                <w:color w:val="auto"/>
                <w:sz w:val="24"/>
                <w:szCs w:val="24"/>
                <w:highlight w:val="none"/>
              </w:rPr>
            </w:pPr>
            <w:r>
              <w:rPr>
                <w:rFonts w:hint="eastAsia" w:hAnsi="宋体" w:eastAsia="宋体" w:cs="宋体"/>
                <w:color w:val="auto"/>
                <w:sz w:val="24"/>
                <w:szCs w:val="24"/>
                <w:highlight w:val="none"/>
              </w:rPr>
              <w:t>详见《投标人须知前附表3》。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1080" w:type="dxa"/>
            <w:noWrap w:val="0"/>
            <w:vAlign w:val="center"/>
          </w:tcPr>
          <w:p>
            <w:pPr>
              <w:keepNext w:val="0"/>
              <w:keepLines w:val="0"/>
              <w:suppressLineNumbers w:val="0"/>
              <w:spacing w:before="0" w:beforeAutospacing="0" w:after="0" w:afterAutospacing="0" w:line="360" w:lineRule="auto"/>
              <w:ind w:left="0" w:right="-63" w:rightChars="-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w:t>
            </w:r>
          </w:p>
        </w:tc>
        <w:tc>
          <w:tcPr>
            <w:tcW w:w="7380"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收费标准：</w:t>
            </w:r>
          </w:p>
          <w:tbl>
            <w:tblPr>
              <w:tblStyle w:val="14"/>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中标金额(万元)</w:t>
                  </w:r>
                </w:p>
              </w:tc>
              <w:tc>
                <w:tcPr>
                  <w:tcW w:w="2700" w:type="dxa"/>
                  <w:noWrap w:val="0"/>
                  <w:vAlign w:val="top"/>
                </w:tcPr>
                <w:p>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[0―100]</w:t>
                  </w:r>
                </w:p>
              </w:tc>
              <w:tc>
                <w:tcPr>
                  <w:tcW w:w="2700" w:type="dxa"/>
                  <w:noWrap w:val="0"/>
                  <w:vAlign w:val="top"/>
                </w:tcPr>
                <w:p>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（100－500]</w:t>
                  </w:r>
                </w:p>
              </w:tc>
              <w:tc>
                <w:tcPr>
                  <w:tcW w:w="2700" w:type="dxa"/>
                  <w:noWrap w:val="0"/>
                  <w:vAlign w:val="top"/>
                </w:tcPr>
                <w:p>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（500-1000]</w:t>
                  </w:r>
                </w:p>
              </w:tc>
              <w:tc>
                <w:tcPr>
                  <w:tcW w:w="2700" w:type="dxa"/>
                  <w:noWrap w:val="0"/>
                  <w:vAlign w:val="top"/>
                </w:tcPr>
                <w:p>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（1000-5000]</w:t>
                  </w:r>
                </w:p>
              </w:tc>
              <w:tc>
                <w:tcPr>
                  <w:tcW w:w="2700" w:type="dxa"/>
                  <w:noWrap w:val="0"/>
                  <w:vAlign w:val="top"/>
                </w:tcPr>
                <w:p>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（5000-10000]</w:t>
                  </w:r>
                </w:p>
              </w:tc>
              <w:tc>
                <w:tcPr>
                  <w:tcW w:w="2700" w:type="dxa"/>
                  <w:noWrap w:val="0"/>
                  <w:vAlign w:val="top"/>
                </w:tcPr>
                <w:p>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（10000-50000]</w:t>
                  </w:r>
                </w:p>
              </w:tc>
              <w:tc>
                <w:tcPr>
                  <w:tcW w:w="2700" w:type="dxa"/>
                  <w:noWrap w:val="0"/>
                  <w:vAlign w:val="top"/>
                </w:tcPr>
                <w:p>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（50000-100000]</w:t>
                  </w:r>
                </w:p>
              </w:tc>
              <w:tc>
                <w:tcPr>
                  <w:tcW w:w="2700" w:type="dxa"/>
                  <w:noWrap w:val="0"/>
                  <w:vAlign w:val="top"/>
                </w:tcPr>
                <w:p>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0.035%</w:t>
                  </w:r>
                </w:p>
              </w:tc>
            </w:tr>
          </w:tbl>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的收取按差额定率累进法计算,由中标供应商支付。</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2、中标供应商以转账或汇款方式提交。</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3、中标供应商为中小企业的，其</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按照</w:t>
            </w:r>
            <w:r>
              <w:rPr>
                <w:rFonts w:hint="eastAsia" w:ascii="宋体" w:hAnsi="宋体" w:eastAsia="宋体" w:cs="宋体"/>
                <w:color w:val="auto"/>
                <w:sz w:val="24"/>
                <w:szCs w:val="24"/>
                <w:highlight w:val="none"/>
                <w:lang w:val="en-US" w:eastAsia="zh-CN"/>
              </w:rPr>
              <w:t>上述</w:t>
            </w:r>
            <w:r>
              <w:rPr>
                <w:rFonts w:hint="eastAsia" w:ascii="宋体" w:hAnsi="宋体" w:eastAsia="宋体" w:cs="宋体"/>
                <w:color w:val="auto"/>
                <w:sz w:val="24"/>
                <w:szCs w:val="24"/>
                <w:highlight w:val="none"/>
              </w:rPr>
              <w:t>服务收费标准下浮10%进行支付。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9</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监督管理部门：厦门市财政局。</w:t>
            </w:r>
          </w:p>
        </w:tc>
      </w:tr>
    </w:tbl>
    <w:p>
      <w:pPr>
        <w:tabs>
          <w:tab w:val="left" w:pos="-1080"/>
          <w:tab w:val="left" w:pos="180"/>
          <w:tab w:val="left" w:pos="1080"/>
        </w:tabs>
        <w:spacing w:line="360" w:lineRule="auto"/>
        <w:rPr>
          <w:rFonts w:hint="eastAsia" w:ascii="宋体" w:hAnsi="宋体" w:eastAsia="宋体" w:cs="宋体"/>
          <w:b/>
          <w:color w:val="auto"/>
          <w:sz w:val="24"/>
          <w:szCs w:val="24"/>
          <w:highlight w:val="none"/>
        </w:rPr>
      </w:pPr>
    </w:p>
    <w:p>
      <w:pPr>
        <w:tabs>
          <w:tab w:val="left" w:pos="-1080"/>
          <w:tab w:val="left" w:pos="180"/>
          <w:tab w:val="left" w:pos="1080"/>
        </w:tabs>
        <w:spacing w:line="360" w:lineRule="auto"/>
        <w:rPr>
          <w:rFonts w:hint="eastAsia" w:ascii="宋体" w:hAnsi="宋体" w:eastAsia="宋体" w:cs="宋体"/>
          <w:b/>
          <w:color w:val="auto"/>
          <w:sz w:val="24"/>
          <w:szCs w:val="24"/>
          <w:highlight w:val="none"/>
        </w:rPr>
      </w:pPr>
    </w:p>
    <w:p>
      <w:pPr>
        <w:tabs>
          <w:tab w:val="left" w:pos="-1080"/>
          <w:tab w:val="left" w:pos="180"/>
          <w:tab w:val="left" w:pos="1080"/>
        </w:tabs>
        <w:spacing w:line="360" w:lineRule="auto"/>
        <w:rPr>
          <w:rFonts w:hint="eastAsia" w:ascii="宋体" w:hAnsi="宋体" w:eastAsia="宋体" w:cs="宋体"/>
          <w:b/>
          <w:color w:val="auto"/>
          <w:sz w:val="24"/>
          <w:szCs w:val="24"/>
          <w:highlight w:val="none"/>
        </w:rPr>
      </w:pPr>
    </w:p>
    <w:p>
      <w:pPr>
        <w:tabs>
          <w:tab w:val="left" w:pos="-1080"/>
          <w:tab w:val="left" w:pos="180"/>
          <w:tab w:val="left" w:pos="1080"/>
        </w:tabs>
        <w:spacing w:line="360" w:lineRule="auto"/>
        <w:rPr>
          <w:rFonts w:hint="eastAsia" w:ascii="宋体" w:hAnsi="宋体" w:eastAsia="宋体" w:cs="宋体"/>
          <w:b/>
          <w:color w:val="auto"/>
          <w:sz w:val="24"/>
          <w:szCs w:val="24"/>
          <w:highlight w:val="none"/>
        </w:rPr>
      </w:pPr>
    </w:p>
    <w:p>
      <w:pPr>
        <w:spacing w:line="360" w:lineRule="auto"/>
        <w:jc w:val="both"/>
        <w:rPr>
          <w:rFonts w:hint="eastAsia" w:ascii="宋体" w:hAnsi="宋体" w:eastAsia="宋体" w:cs="宋体"/>
          <w:b/>
          <w:bCs/>
          <w:color w:val="auto"/>
          <w:sz w:val="24"/>
          <w:szCs w:val="24"/>
          <w:highlight w:val="none"/>
          <w:u w:val="single"/>
        </w:rPr>
      </w:pPr>
    </w:p>
    <w:p>
      <w:pPr>
        <w:spacing w:line="360" w:lineRule="auto"/>
        <w:jc w:val="center"/>
        <w:rPr>
          <w:rFonts w:hint="eastAsia" w:ascii="宋体" w:hAnsi="宋体" w:eastAsia="宋体" w:cs="宋体"/>
          <w:b/>
          <w:bCs/>
          <w:color w:val="auto"/>
          <w:sz w:val="32"/>
          <w:szCs w:val="32"/>
          <w:highlight w:val="none"/>
          <w:u w:val="single"/>
        </w:rPr>
      </w:pPr>
    </w:p>
    <w:p>
      <w:pPr>
        <w:spacing w:line="360" w:lineRule="auto"/>
        <w:jc w:val="center"/>
        <w:rPr>
          <w:rFonts w:hint="eastAsia" w:ascii="宋体" w:hAnsi="宋体" w:eastAsia="宋体" w:cs="宋体"/>
          <w:b/>
          <w:bCs/>
          <w:color w:val="auto"/>
          <w:sz w:val="32"/>
          <w:szCs w:val="32"/>
          <w:highlight w:val="none"/>
          <w:u w:val="single"/>
        </w:rPr>
      </w:pPr>
    </w:p>
    <w:p>
      <w:pPr>
        <w:spacing w:line="360" w:lineRule="auto"/>
        <w:jc w:val="center"/>
        <w:rPr>
          <w:rFonts w:hint="eastAsia" w:ascii="宋体" w:hAnsi="宋体" w:eastAsia="宋体" w:cs="宋体"/>
          <w:b/>
          <w:bCs/>
          <w:color w:val="auto"/>
          <w:sz w:val="32"/>
          <w:szCs w:val="32"/>
          <w:highlight w:val="none"/>
          <w:u w:val="single"/>
        </w:rPr>
      </w:pPr>
    </w:p>
    <w:p>
      <w:pPr>
        <w:spacing w:line="360" w:lineRule="auto"/>
        <w:jc w:val="center"/>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投标人须知前附表2:资格性、符合性检查表</w:t>
      </w:r>
    </w:p>
    <w:p>
      <w:pPr>
        <w:spacing w:line="360" w:lineRule="auto"/>
        <w:ind w:firstLine="5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本须知前附表2集中列示了符合性检查的所有条款，其内容是评标委员会在评审过程中判断投标人的投标是否有效的重要依据。本须知前附表</w:t>
      </w:r>
      <w:r>
        <w:rPr>
          <w:rFonts w:hint="default" w:ascii="宋体" w:hAnsi="宋体" w:cs="宋体"/>
          <w:color w:val="auto"/>
          <w:sz w:val="24"/>
          <w:szCs w:val="24"/>
          <w:highlight w:val="none"/>
        </w:rPr>
        <w:t>2</w:t>
      </w:r>
      <w:r>
        <w:rPr>
          <w:rFonts w:hint="eastAsia" w:ascii="宋体" w:hAnsi="宋体" w:eastAsia="宋体" w:cs="宋体"/>
          <w:color w:val="auto"/>
          <w:sz w:val="24"/>
          <w:szCs w:val="24"/>
          <w:highlight w:val="none"/>
        </w:rPr>
        <w:t>的条款号是与</w:t>
      </w:r>
      <w:r>
        <w:rPr>
          <w:rFonts w:hint="default" w:ascii="宋体" w:hAnsi="宋体" w:cs="宋体"/>
          <w:color w:val="auto"/>
          <w:sz w:val="24"/>
          <w:szCs w:val="24"/>
          <w:highlight w:val="none"/>
        </w:rPr>
        <w:t>固定部分第二章</w:t>
      </w:r>
      <w:r>
        <w:rPr>
          <w:rFonts w:hint="eastAsia" w:ascii="宋体" w:hAnsi="宋体" w:eastAsia="宋体" w:cs="宋体"/>
          <w:color w:val="auto"/>
          <w:sz w:val="24"/>
          <w:szCs w:val="24"/>
          <w:highlight w:val="none"/>
        </w:rPr>
        <w:t xml:space="preserve">《投标人须知》中条款的项号相对应的。如有矛盾，应以本须知前附表为准。 </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4"/>
        <w:gridCol w:w="684"/>
        <w:gridCol w:w="1401"/>
        <w:gridCol w:w="5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noWrap w:val="0"/>
            <w:vAlign w:val="top"/>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资格性要求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w:t>
            </w:r>
          </w:p>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号</w:t>
            </w:r>
          </w:p>
        </w:tc>
        <w:tc>
          <w:tcPr>
            <w:tcW w:w="397"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章</w:t>
            </w:r>
          </w:p>
        </w:tc>
        <w:tc>
          <w:tcPr>
            <w:tcW w:w="813"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条款号</w:t>
            </w:r>
          </w:p>
        </w:tc>
        <w:tc>
          <w:tcPr>
            <w:tcW w:w="3390" w:type="pct"/>
            <w:tcBorders>
              <w:bottom w:val="single" w:color="auto" w:sz="4" w:space="0"/>
            </w:tcBorders>
            <w:noWrap w:val="0"/>
            <w:vAlign w:val="center"/>
          </w:tcPr>
          <w:p>
            <w:pPr>
              <w:keepNext w:val="0"/>
              <w:keepLines w:val="0"/>
              <w:suppressLineNumbers w:val="0"/>
              <w:tabs>
                <w:tab w:val="left" w:pos="2848"/>
              </w:tabs>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33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合格的投标人</w:t>
            </w:r>
          </w:p>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具体内容详见第二章第3条“合格的投标人”。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33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投标人应具备《中华人民共和国政府采购法》第二十二条第一款规定的条件，并提供以下材料：</w:t>
            </w:r>
          </w:p>
          <w:p>
            <w:pPr>
              <w:keepNext w:val="0"/>
              <w:keepLines w:val="0"/>
              <w:suppressLineNumbers w:val="0"/>
              <w:spacing w:before="0" w:beforeAutospacing="0" w:after="0" w:afterAutospacing="0" w:line="360" w:lineRule="auto"/>
              <w:ind w:left="0" w:right="0" w:firstLine="319" w:firstLineChars="133"/>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（1）法人或者其他组织的营业执照等证明文件，自然人的身份证明；</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投标人是法人或者其他组织的应提供营业执照等证明文件，投标人是自然人的应提供有效的自然人身份证明。</w:t>
            </w:r>
          </w:p>
          <w:p>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kern w:val="0"/>
                <w:sz w:val="24"/>
                <w:szCs w:val="24"/>
                <w:highlight w:val="none"/>
              </w:rPr>
              <w:t>经审计的上一年度的年度财务报告（</w:t>
            </w:r>
            <w:r>
              <w:rPr>
                <w:rFonts w:hint="eastAsia" w:ascii="宋体" w:hAnsi="宋体" w:eastAsia="宋体" w:cs="宋体"/>
                <w:color w:val="auto"/>
                <w:sz w:val="24"/>
                <w:szCs w:val="24"/>
                <w:highlight w:val="none"/>
              </w:rPr>
              <w:t>投标人上一年度的财务报告尚未完成编制且投标截止时间在每年1月1日至4月30日的，可提供上上年度经审计的年度财务报告。</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及依法缴纳税收和社会保障资金的相关材料；若投标人因新注册成立等原因无法提供上述证明材料的，应在投标文件中提交如实的情况说明；预算金额500万元以下的政府采购项目基本资格条件采取“信用承诺制”，投标人提供资格承诺函(格式见附件)的即可参加采购活动，在投标文件中无需再提供财务状况报告、依法缴纳税收和社会保障资金的相关证明材料。投标人应当遵循诚实信用原则，不得作虚假承诺，投标人承诺不实的，属于提供虚假材料谋取中标、成交，应依法承担相应的法律责任。</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财务状况报告指“四表一注”，即资产负债表、利润表、现金流量表、所有者权益变动表及其附注，或基本开户银行出具的资信证明。</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法缴纳税收和社会保障资金的证明材料主要是投标人税务登记证、缴纳增值税或营业税或企业所得税的凭据，缴纳社会保险的凭据（专用收据或社会保险缴纳清单）。依法免税或不需要缴纳社会保障资金的投标人，应提供相应文件证 明其依法免税或不需要缴纳社会保障资金。根据《财政部关于印发&lt;小企业会计准则&gt;的通知》（财会〔2011〕17号）的规定，小企业的财务报表包括资产负债表、利润表、现金流量表及其附注，可以不含所有者权益变动表。</w:t>
            </w:r>
          </w:p>
          <w:p>
            <w:pPr>
              <w:keepNext w:val="0"/>
              <w:keepLines w:val="0"/>
              <w:suppressLineNumbers w:val="0"/>
              <w:spacing w:before="0" w:beforeAutospacing="0" w:after="0" w:afterAutospacing="0" w:line="360" w:lineRule="auto"/>
              <w:ind w:left="0" w:right="0" w:firstLine="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（3）具备履行合同所必需的设备和专业技术能力的证明材料。</w:t>
            </w:r>
          </w:p>
          <w:p>
            <w:pPr>
              <w:keepNext w:val="0"/>
              <w:keepLines w:val="0"/>
              <w:suppressLineNumbers w:val="0"/>
              <w:spacing w:before="0" w:beforeAutospacing="0" w:after="0" w:afterAutospacing="0" w:line="360" w:lineRule="auto"/>
              <w:ind w:left="0" w:right="0" w:firstLine="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（4）参加政府采购活动前3年内在经营活动中没有重大违法记录的书面声明；投标人自行对其有无行贿犯罪情形进行书面说明或书面承诺。</w:t>
            </w:r>
          </w:p>
          <w:p>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（5）具备法律、行政法规规定的其他条件的证明材料。</w:t>
            </w:r>
          </w:p>
          <w:p>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（6）投标人已提供加载有统一社会信用代码营业执照的，视为已提供税务登记证和组织机构代码证。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33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3.5如本项目接受联合体投标，则两个或者两个以上投标人可以组成一个投标联合体，以一个投标人的身份投标。</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（1）以联合体形式参加投标的，联合体各方均应当符合合格的投标人相关规定。</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根据采购项目的特殊要求规定投标人特定条件的，联合体各方中至少应当有一方符合</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规定的特定条件，如联合体各方中没有一方符合特定条件的，该联合体投标无效。</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（3）项目如涉及资质要求，该部分内容应由联合体中具有该资质要求的投标人承担。联合体协议及签订的采购合同应包含此项内容。</w:t>
            </w:r>
          </w:p>
          <w:p>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（4）联合体中有同类资质的投标人按照联合体分工承担相同工作的，应当按照资质等级较低的投标人确定资质等级。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33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3.6属于联合体投标的，除招标文件其他章节或本须知其他条款另有规定或要求外，投标文件中仅加盖联合体一方公章的相关文件，对联合体各方均具有约束力。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33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3.7投标代理人在同一个项目中只能接受一个投标人的委托参加投标。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3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tabs>
                <w:tab w:val="left" w:pos="630"/>
              </w:tabs>
              <w:spacing w:before="0" w:beforeAutospacing="0" w:after="0" w:afterAutospacing="0" w:line="360" w:lineRule="auto"/>
              <w:ind w:left="0" w:right="0"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用记录按照下列规定执行：信用记录的查询及审查：①由资格审查小组评审当日通过“信用中国”网站（www.creditchina.gov.cn）、中国政府采购网（www.ccgp.gov.cn）、“信用厦门”网站（credit.xm.gov.cn）查询并打印投标人信用记录（以下简称：“资格审查小组的查询结果”）。②查询结果存在投标人（包括联合体各方，联合体成员存在不良记录的，视同联合体存在不良信用记录，认定联合体资格审查不合格）应被拒绝参与政府采购活动相关信息的，其资格审查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3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napToGrid w:val="0"/>
              <w:spacing w:before="0" w:beforeAutospacing="0" w:after="0" w:afterAutospacing="0" w:line="360" w:lineRule="auto"/>
              <w:ind w:left="0" w:right="0" w:firstLine="590" w:firstLineChars="245"/>
              <w:rPr>
                <w:rFonts w:hint="eastAsia" w:ascii="宋体" w:hAnsi="宋体" w:eastAsia="宋体" w:cs="宋体"/>
                <w:color w:val="auto"/>
                <w:sz w:val="24"/>
                <w:szCs w:val="24"/>
                <w:highlight w:val="none"/>
              </w:rPr>
            </w:pPr>
            <w:r>
              <w:rPr>
                <w:rFonts w:hint="eastAsia" w:ascii="宋体" w:hAnsi="宋体"/>
                <w:b/>
                <w:color w:val="auto"/>
                <w:sz w:val="24"/>
                <w:szCs w:val="24"/>
                <w:highlight w:val="none"/>
              </w:rPr>
              <w:t>*1.投标人应提供工商营业执照（副本）（加盖公章）的复印件。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w:t>
            </w:r>
          </w:p>
        </w:tc>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390" w:type="pct"/>
            <w:tcBorders>
              <w:top w:val="single" w:color="auto" w:sz="4" w:space="0"/>
              <w:left w:val="single" w:color="auto" w:sz="4" w:space="0"/>
              <w:bottom w:val="single" w:color="auto" w:sz="4" w:space="0"/>
              <w:right w:val="single" w:color="auto" w:sz="4" w:space="0"/>
            </w:tcBorders>
            <w:noWrap w:val="0"/>
            <w:vAlign w:val="center"/>
          </w:tcPr>
          <w:p>
            <w:pPr>
              <w:pStyle w:val="11"/>
              <w:keepNext w:val="0"/>
              <w:keepLines w:val="0"/>
              <w:suppressLineNumbers w:val="0"/>
              <w:shd w:val="clear" w:color="auto" w:fill="FFFFFF"/>
              <w:spacing w:before="0" w:beforeAutospacing="0" w:after="0" w:afterAutospacing="0" w:line="360" w:lineRule="auto"/>
              <w:ind w:left="0" w:right="0" w:firstLine="470" w:firstLineChars="195"/>
              <w:rPr>
                <w:rFonts w:hint="eastAsia" w:ascii="宋体" w:hAnsi="宋体" w:eastAsia="宋体" w:cs="宋体"/>
                <w:color w:val="auto"/>
                <w:sz w:val="24"/>
                <w:szCs w:val="24"/>
                <w:highlight w:val="none"/>
              </w:rPr>
            </w:pPr>
            <w:r>
              <w:rPr>
                <w:rFonts w:hint="eastAsia"/>
                <w:b/>
                <w:color w:val="auto"/>
                <w:highlight w:val="none"/>
              </w:rPr>
              <w:t>*2.投标人全权代表若不是单位负责人，应提供单位授权书原件，并提供被授权代表身份证复印件。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9</w:t>
            </w:r>
          </w:p>
        </w:tc>
        <w:tc>
          <w:tcPr>
            <w:tcW w:w="397"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3"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390" w:type="pct"/>
            <w:tcBorders>
              <w:top w:val="single" w:color="auto" w:sz="4" w:space="0"/>
              <w:left w:val="single" w:color="auto" w:sz="4" w:space="0"/>
              <w:bottom w:val="single" w:color="auto" w:sz="4" w:space="0"/>
              <w:right w:val="single" w:color="auto" w:sz="4" w:space="0"/>
            </w:tcBorders>
            <w:noWrap w:val="0"/>
            <w:vAlign w:val="top"/>
          </w:tcPr>
          <w:p>
            <w:pPr>
              <w:pStyle w:val="11"/>
              <w:keepNext w:val="0"/>
              <w:keepLines w:val="0"/>
              <w:suppressLineNumbers w:val="0"/>
              <w:shd w:val="clear" w:color="auto" w:fill="FFFFFF"/>
              <w:spacing w:before="0" w:beforeAutospacing="0" w:after="0" w:afterAutospacing="0" w:line="360" w:lineRule="auto"/>
              <w:ind w:left="0" w:right="0" w:firstLine="470" w:firstLineChars="195"/>
              <w:rPr>
                <w:rFonts w:hint="eastAsia" w:ascii="宋体" w:hAnsi="宋体" w:eastAsia="宋体" w:cs="宋体"/>
                <w:color w:val="auto"/>
                <w:sz w:val="24"/>
                <w:szCs w:val="24"/>
                <w:highlight w:val="none"/>
              </w:rPr>
            </w:pPr>
            <w:r>
              <w:rPr>
                <w:rFonts w:hint="eastAsia"/>
                <w:b/>
                <w:color w:val="auto"/>
                <w:highlight w:val="none"/>
              </w:rPr>
              <w:t>*3、</w:t>
            </w:r>
            <w:r>
              <w:rPr>
                <w:rFonts w:hint="default"/>
                <w:b/>
                <w:color w:val="auto"/>
                <w:highlight w:val="none"/>
              </w:rPr>
              <w:t>本项目专门面向</w:t>
            </w:r>
            <w:r>
              <w:rPr>
                <w:rFonts w:hint="eastAsia"/>
                <w:b/>
                <w:color w:val="auto"/>
                <w:highlight w:val="none"/>
              </w:rPr>
              <w:t>小型或微型</w:t>
            </w:r>
            <w:r>
              <w:rPr>
                <w:rFonts w:hint="default"/>
                <w:b/>
                <w:color w:val="auto"/>
                <w:highlight w:val="none"/>
              </w:rPr>
              <w:t>企业采购，所投所有采购标的均为</w:t>
            </w:r>
            <w:r>
              <w:rPr>
                <w:rFonts w:hint="eastAsia"/>
                <w:b/>
                <w:color w:val="auto"/>
                <w:highlight w:val="none"/>
              </w:rPr>
              <w:t>小型或微型</w:t>
            </w:r>
            <w:r>
              <w:rPr>
                <w:rFonts w:hint="default"/>
                <w:b/>
                <w:color w:val="auto"/>
                <w:highlight w:val="none"/>
              </w:rPr>
              <w:t>企业制造，须提供</w:t>
            </w:r>
            <w:r>
              <w:rPr>
                <w:rFonts w:hint="eastAsia"/>
                <w:b/>
                <w:color w:val="auto"/>
                <w:highlight w:val="none"/>
              </w:rPr>
              <w:t>小型或微型</w:t>
            </w:r>
            <w:r>
              <w:rPr>
                <w:rFonts w:hint="default"/>
                <w:b/>
                <w:color w:val="auto"/>
                <w:highlight w:val="none"/>
              </w:rPr>
              <w:t>企业声明函，且本项目不再执行价格评审优惠的扶持政策。本项目对应的</w:t>
            </w:r>
            <w:r>
              <w:rPr>
                <w:rFonts w:hint="eastAsia"/>
                <w:b/>
                <w:color w:val="auto"/>
                <w:highlight w:val="none"/>
              </w:rPr>
              <w:t>小型或微型</w:t>
            </w:r>
            <w:r>
              <w:rPr>
                <w:rFonts w:hint="default"/>
                <w:b/>
                <w:color w:val="auto"/>
                <w:highlight w:val="none"/>
              </w:rPr>
              <w:t>企业划分标准所属</w:t>
            </w:r>
            <w:r>
              <w:rPr>
                <w:rFonts w:hint="eastAsia"/>
                <w:b/>
                <w:color w:val="auto"/>
                <w:highlight w:val="none"/>
              </w:rPr>
              <w:t>工业行业。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firstLine="3373" w:firstLineChars="14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符合性要求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项号</w:t>
            </w:r>
          </w:p>
        </w:tc>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章</w:t>
            </w: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33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w:t>
            </w: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3390"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投标人的投标文件未按规定的投标截止时间之前提交的，其投标将被拒绝。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33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33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3.3一个投标人只能提交一个投标文件。如果投标人之间存在下列互为关联关系的情形之一的，不得同时参加本项目同一合同包投标：</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(1)法定代表人、单位负责人为同一人或夫妻关系的不同投标人；</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(2)存在直接控股、管理关系的不同投标人；</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(3)均为同一家母公司直接或间接持股50％及以上的被投资公司。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33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33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3.8投标人存在下列情形之一的，将被认定为串通投标行为并作无效投标处理：</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（1）投标人之间协商投标报价等投标文件的实质性内容；</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（2）投标人之间约定中标供应商；</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（3）投标人之间约定部分投标人放弃投标或者中标；</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（4）属于同一集团、协会、商会等组织成员的投标人按照该组织要求协同投标；</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（5）投标人之间为谋取中标或者排斥特定投标人而采取的其他联合行动；</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（6）不同投标人的投标文件由同一单位或者个人编制；</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（7）不同投标人委托同一单位或者个人办理投标事宜；</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（8）不同投标人的投标文件载明的项目管理成员或者联系人员为同一人；</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（9）不同投标人的投标文件异常一致或者投标报价呈规律性差异；</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（10）不同投标人的投标文件相互混装；</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（11）不同投标人的投标保证金从同一单位或者个人的账户转出。</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（12）不同投标人的投标文件错、漏之处一致或雷同，且不能合理解释的；</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（13）不同的投标人的法定代表人、委托代理人等由同一个单位缴纳社会保险的；</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（14）由同一人或分别由几个有利害关系的人携带两个以上（含两个）投标人的企业资料参与资格审查、领取招标资料，或代表两个以上（含两个）投标人参加招标答疑会、交纳或退还投标保证金、开标的；</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（15）有关法律、法规或规章规定的其他串通投标行为。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w:t>
            </w:r>
          </w:p>
        </w:tc>
        <w:tc>
          <w:tcPr>
            <w:tcW w:w="3390"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8.1投标人应仔细阅读招标文件的所有内容，按照招标文件的要求提交投标文件。投标文件应对招标文件的要求作出实质性响应，并保证所提供的全部资料的真实性，否则其投标将被拒绝。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w:t>
            </w:r>
          </w:p>
        </w:tc>
        <w:tc>
          <w:tcPr>
            <w:tcW w:w="3390"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8.2除非有另外的规定，投标人可对招标货物（服务）一览表所列的全部合同包或部分合同包进行投标。招标采购单位不接受有任何可选择性的报价，每一种货物（服务）只能有一个报价，否则其投标将被拒绝。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33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11.1投标文件从投标截止之日开始生效，在</w:t>
            </w:r>
            <w:r>
              <w:rPr>
                <w:rFonts w:hint="eastAsia" w:ascii="宋体" w:hAnsi="宋体" w:eastAsia="宋体" w:cs="宋体"/>
                <w:b/>
                <w:bCs/>
                <w:color w:val="auto"/>
                <w:sz w:val="24"/>
                <w:szCs w:val="24"/>
                <w:highlight w:val="none"/>
              </w:rPr>
              <w:t>投标人须知前附表1</w:t>
            </w:r>
            <w:r>
              <w:rPr>
                <w:rFonts w:hint="eastAsia" w:ascii="宋体" w:hAnsi="宋体" w:eastAsia="宋体" w:cs="宋体"/>
                <w:b/>
                <w:color w:val="auto"/>
                <w:sz w:val="24"/>
                <w:szCs w:val="24"/>
                <w:highlight w:val="none"/>
              </w:rPr>
              <w:t>第3项所规定的期限内保持有效。有效期不足将导致其投标文件被拒绝。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w:t>
            </w:r>
          </w:p>
        </w:tc>
        <w:tc>
          <w:tcPr>
            <w:tcW w:w="33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12.5未按要求缴交投标保证金的投标，将被视为无效投标。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13.7</w:t>
            </w:r>
          </w:p>
        </w:tc>
        <w:tc>
          <w:tcPr>
            <w:tcW w:w="33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13.7未按本须知规定的格式填写投标文件、投标文件字迹模糊不清的，其投标将被拒绝。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13.9</w:t>
            </w:r>
          </w:p>
        </w:tc>
        <w:tc>
          <w:tcPr>
            <w:tcW w:w="33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投标人应将上述文件按顺序装订成册、打印页码，并编列投标文件目录、资料清单，由于装订不规范或编排顺序混乱而导致投标文件被误读或漏读，该投标可能被视为无效投标或承担不利的评标结果。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w:t>
            </w:r>
          </w:p>
        </w:tc>
        <w:tc>
          <w:tcPr>
            <w:tcW w:w="33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14.1</w:t>
            </w:r>
            <w:r>
              <w:rPr>
                <w:rFonts w:hint="eastAsia" w:ascii="宋体" w:hAnsi="宋体" w:eastAsia="宋体" w:cs="宋体"/>
                <w:b/>
                <w:color w:val="auto"/>
                <w:sz w:val="24"/>
                <w:szCs w:val="24"/>
                <w:highlight w:val="none"/>
              </w:rPr>
              <w:t>投标文件未密封将导致其投标被拒绝。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14.5</w:t>
            </w:r>
          </w:p>
        </w:tc>
        <w:tc>
          <w:tcPr>
            <w:tcW w:w="339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14.5投标文件应在投标邀请中规定的截止时间前送达，迟到的投标文件为无效投标文件, 将被拒收。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14.7</w:t>
            </w:r>
          </w:p>
        </w:tc>
        <w:tc>
          <w:tcPr>
            <w:tcW w:w="3390"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14.7投标人在投标截止时间后不得修改、撤回投标文件。投标人在投标截止时间后修改投标文件的，其投标将被拒绝。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w:t>
            </w:r>
          </w:p>
        </w:tc>
        <w:tc>
          <w:tcPr>
            <w:tcW w:w="3390"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17.投标人任何试图影响评委会对投标文件的评估、比较或者推荐候选人的行为，都将导致其投标按照无效投标处理，并被没收投标保证金。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17.2</w:t>
            </w:r>
          </w:p>
        </w:tc>
        <w:tc>
          <w:tcPr>
            <w:tcW w:w="3390"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17.2</w:t>
            </w: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17.3.2</w:t>
            </w:r>
          </w:p>
        </w:tc>
        <w:tc>
          <w:tcPr>
            <w:tcW w:w="3390"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可根据具体项目的情况对实质性要求作特别的规定。）实质性偏离是指：（1）实质性影响合同的范围、质量和履行；（2）实质性违背招标文件，限制了</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未按规定提交投标保证金的；</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(2)投标有效期不满足招标文件要求的；</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(3)投标内容与招标内容及要求有重大偏离或保留的；</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(4)投标人提交的是可选择的报价；</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(5)投标人未按招标文件要求对投标进行分项报价；</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(6)投标文件中提供虚假或失实资料的；</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(7)不符合招标文件中规定的其它实质性条款。 </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评标委员会决定投标的响应性只根据投标文件本身的内容，而不寻求其他的外部证据。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3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17.3.3</w:t>
            </w:r>
          </w:p>
        </w:tc>
        <w:tc>
          <w:tcPr>
            <w:tcW w:w="3390" w:type="pct"/>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397" w:type="pct"/>
            <w:tcBorders>
              <w:top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397" w:type="pct"/>
            <w:tcBorders>
              <w:top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3" w:type="pct"/>
            <w:tcBorders>
              <w:top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17.3.4</w:t>
            </w:r>
          </w:p>
        </w:tc>
        <w:tc>
          <w:tcPr>
            <w:tcW w:w="3390" w:type="pct"/>
            <w:tcBorders>
              <w:top w:val="single" w:color="auto" w:sz="4" w:space="0"/>
            </w:tcBorders>
            <w:noWrap w:val="0"/>
            <w:vAlign w:val="center"/>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w:t>
            </w:r>
            <w:r>
              <w:rPr>
                <w:rFonts w:hint="eastAsia" w:ascii="宋体" w:hAnsi="宋体" w:cs="宋体"/>
                <w:b/>
                <w:color w:val="auto"/>
                <w:sz w:val="24"/>
                <w:szCs w:val="24"/>
                <w:highlight w:val="none"/>
              </w:rPr>
              <w:t>采购单位（或使用单位）</w:t>
            </w:r>
            <w:r>
              <w:rPr>
                <w:rFonts w:hint="eastAsia" w:ascii="宋体" w:hAnsi="宋体" w:eastAsia="宋体" w:cs="宋体"/>
                <w:b/>
                <w:color w:val="auto"/>
                <w:sz w:val="24"/>
                <w:szCs w:val="24"/>
                <w:highlight w:val="none"/>
              </w:rPr>
              <w:t>、招标代理机构有下列情形之一的，将被认定为</w:t>
            </w:r>
            <w:r>
              <w:rPr>
                <w:rFonts w:hint="eastAsia" w:ascii="宋体" w:hAnsi="宋体" w:cs="宋体"/>
                <w:b/>
                <w:color w:val="auto"/>
                <w:sz w:val="24"/>
                <w:szCs w:val="24"/>
                <w:highlight w:val="none"/>
              </w:rPr>
              <w:t>采购单位（或使用单位）</w:t>
            </w:r>
            <w:r>
              <w:rPr>
                <w:rFonts w:hint="eastAsia" w:ascii="宋体" w:hAnsi="宋体" w:eastAsia="宋体" w:cs="宋体"/>
                <w:b/>
                <w:color w:val="auto"/>
                <w:sz w:val="24"/>
                <w:szCs w:val="24"/>
                <w:highlight w:val="none"/>
              </w:rPr>
              <w:t>、招标代理机构与投标人有串通投标行为，该投标人投标作无效投标处理：</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17.3.5</w:t>
            </w:r>
          </w:p>
        </w:tc>
        <w:tc>
          <w:tcPr>
            <w:tcW w:w="3390" w:type="pct"/>
            <w:noWrap w:val="0"/>
            <w:vAlign w:val="center"/>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17.3.5出现17.3.4情形之一的，作无效投标处理的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19.3</w:t>
            </w:r>
          </w:p>
        </w:tc>
        <w:tc>
          <w:tcPr>
            <w:tcW w:w="3390" w:type="pct"/>
            <w:noWrap w:val="0"/>
            <w:vAlign w:val="center"/>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22</w:t>
            </w: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二</w:t>
            </w:r>
          </w:p>
        </w:tc>
        <w:tc>
          <w:tcPr>
            <w:tcW w:w="81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22</w:t>
            </w:r>
          </w:p>
        </w:tc>
        <w:tc>
          <w:tcPr>
            <w:tcW w:w="3390" w:type="pct"/>
            <w:noWrap w:val="0"/>
            <w:vAlign w:val="center"/>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b/>
                <w:color w:val="auto"/>
                <w:sz w:val="24"/>
                <w:szCs w:val="24"/>
                <w:highlight w:val="none"/>
              </w:rPr>
            </w:pPr>
            <w:r>
              <w:rPr>
                <w:rFonts w:hint="eastAsia" w:ascii="宋体" w:hAnsi="宋体" w:cs="宋体"/>
                <w:color w:val="auto"/>
                <w:sz w:val="24"/>
                <w:szCs w:val="24"/>
                <w:highlight w:val="none"/>
              </w:rPr>
              <w:t>投标人一旦中标，应在规定时间内凭中标通知书原件按第四章合同文本要求签订合同，并且凭中标供应商开具的本单位一般纳税人增值税专用发票（13%税点）向厦门万翔网络商务有限公司申请支付相应货款。中标供应商为中小企业的，如需支付履约保证金的，支付比例为中标金额的</w:t>
            </w:r>
            <w:r>
              <w:rPr>
                <w:rFonts w:hint="eastAsia" w:ascii="宋体" w:hAnsi="宋体" w:cs="宋体"/>
                <w:color w:val="auto"/>
                <w:sz w:val="24"/>
                <w:szCs w:val="24"/>
                <w:highlight w:val="none"/>
                <w:lang w:val="en-US" w:eastAsia="zh-CN"/>
              </w:rPr>
              <w:t>1.5</w:t>
            </w:r>
            <w:r>
              <w:rPr>
                <w:rFonts w:hint="eastAsia" w:ascii="宋体" w:hAnsi="宋体" w:cs="宋体"/>
                <w:color w:val="auto"/>
                <w:sz w:val="24"/>
                <w:szCs w:val="24"/>
                <w:highlight w:val="none"/>
              </w:rPr>
              <w:t>%。</w:t>
            </w:r>
            <w:r>
              <w:rPr>
                <w:rFonts w:hint="eastAsia" w:ascii="宋体" w:hAnsi="宋体" w:cs="宋体"/>
                <w:bCs/>
                <w:color w:val="auto"/>
                <w:sz w:val="24"/>
                <w:szCs w:val="24"/>
                <w:highlight w:val="none"/>
              </w:rPr>
              <w:t>否则作无效投标处理。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noWrap w:val="0"/>
            <w:vAlign w:val="center"/>
          </w:tcPr>
          <w:p>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23</w:t>
            </w: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390" w:type="pct"/>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投标人如果为联合体投标，则必须同时满足下列要求，否则</w:t>
            </w:r>
            <w:r>
              <w:rPr>
                <w:rFonts w:hint="eastAsia" w:ascii="宋体" w:hAnsi="宋体" w:eastAsia="宋体" w:cs="宋体"/>
                <w:color w:val="auto"/>
                <w:sz w:val="24"/>
                <w:szCs w:val="24"/>
                <w:highlight w:val="none"/>
              </w:rPr>
              <w:t>该投标人的投标将按照无效投标处理</w:t>
            </w:r>
            <w:r>
              <w:rPr>
                <w:rFonts w:hint="eastAsia" w:ascii="宋体" w:hAnsi="宋体" w:eastAsia="宋体" w:cs="宋体"/>
                <w:bCs/>
                <w:color w:val="auto"/>
                <w:sz w:val="24"/>
                <w:szCs w:val="24"/>
                <w:highlight w:val="none"/>
              </w:rPr>
              <w:t>：</w:t>
            </w:r>
          </w:p>
          <w:p>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①在开标一览表中注明是否联合体投标、联合体组成单位；</w:t>
            </w:r>
          </w:p>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②在投标文件中提供各方盖章签署的共同投标协议原件。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noWrap w:val="0"/>
            <w:vAlign w:val="center"/>
          </w:tcPr>
          <w:p>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24</w:t>
            </w: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390" w:type="pct"/>
            <w:noWrap w:val="0"/>
            <w:vAlign w:val="center"/>
          </w:tcPr>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投标文件中不得附有</w:t>
            </w:r>
            <w:r>
              <w:rPr>
                <w:rFonts w:hint="eastAsia" w:ascii="宋体" w:hAnsi="宋体" w:cs="宋体"/>
                <w:bCs/>
                <w:color w:val="auto"/>
                <w:sz w:val="24"/>
                <w:szCs w:val="24"/>
                <w:highlight w:val="none"/>
              </w:rPr>
              <w:t>采购单位</w:t>
            </w:r>
            <w:r>
              <w:rPr>
                <w:rFonts w:hint="eastAsia" w:ascii="宋体" w:hAnsi="宋体" w:cs="宋体"/>
                <w:color w:val="auto"/>
                <w:sz w:val="24"/>
                <w:szCs w:val="24"/>
                <w:highlight w:val="none"/>
              </w:rPr>
              <w:t>（或使用单位）</w:t>
            </w:r>
            <w:r>
              <w:rPr>
                <w:rFonts w:hint="eastAsia" w:ascii="宋体" w:hAnsi="宋体" w:eastAsia="宋体" w:cs="宋体"/>
                <w:bCs/>
                <w:color w:val="auto"/>
                <w:sz w:val="24"/>
                <w:szCs w:val="24"/>
                <w:highlight w:val="none"/>
              </w:rPr>
              <w:t>不能接受的条款，</w:t>
            </w:r>
            <w:r>
              <w:rPr>
                <w:rFonts w:hint="eastAsia" w:ascii="宋体" w:hAnsi="宋体" w:eastAsia="宋体" w:cs="宋体"/>
                <w:color w:val="auto"/>
                <w:sz w:val="24"/>
                <w:szCs w:val="24"/>
                <w:highlight w:val="none"/>
              </w:rPr>
              <w:t>否则该投标人的投标将按照无效投标处理。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noWrap w:val="0"/>
            <w:vAlign w:val="center"/>
          </w:tcPr>
          <w:p>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25</w:t>
            </w:r>
          </w:p>
        </w:tc>
        <w:tc>
          <w:tcPr>
            <w:tcW w:w="397" w:type="pct"/>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color w:val="auto"/>
                <w:sz w:val="24"/>
                <w:szCs w:val="24"/>
                <w:highlight w:val="none"/>
              </w:rPr>
            </w:pPr>
          </w:p>
        </w:tc>
        <w:tc>
          <w:tcPr>
            <w:tcW w:w="813" w:type="pct"/>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390" w:type="pct"/>
            <w:noWrap w:val="0"/>
            <w:vAlign w:val="center"/>
          </w:tcPr>
          <w:p>
            <w:pPr>
              <w:pStyle w:val="2"/>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本项目以合同包为单位，对于每个合同包，投标人必须完整地提供合同包要求的所有货物和服务，否则</w:t>
            </w:r>
            <w:r>
              <w:rPr>
                <w:rFonts w:hint="eastAsia" w:ascii="宋体" w:hAnsi="宋体" w:eastAsia="宋体" w:cs="宋体"/>
                <w:color w:val="auto"/>
                <w:sz w:val="24"/>
                <w:szCs w:val="24"/>
                <w:highlight w:val="none"/>
              </w:rPr>
              <w:t>该投标人针对该合同包的投标将按照无效投标处理</w:t>
            </w:r>
            <w:r>
              <w:rPr>
                <w:rFonts w:hint="eastAsia" w:ascii="宋体" w:hAnsi="宋体" w:eastAsia="宋体" w:cs="宋体"/>
                <w:bCs/>
                <w:color w:val="auto"/>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noWrap w:val="0"/>
            <w:vAlign w:val="center"/>
          </w:tcPr>
          <w:p>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26</w:t>
            </w:r>
          </w:p>
        </w:tc>
        <w:tc>
          <w:tcPr>
            <w:tcW w:w="397" w:type="pct"/>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813" w:type="pct"/>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390" w:type="pct"/>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投标人应对其在投标文件中声明的关于中小企业事项的真实性负责，存在以下情形之一的，经评标委员会查实，应认定存在虚假的：</w:t>
            </w:r>
          </w:p>
          <w:p>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（1）投标人（包括联合体任一方）不符合“工信部联企业[2011]300号”规定的中小企业标准的；</w:t>
            </w:r>
          </w:p>
          <w:p>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（2）投标货物全部或部分为使用大型企业注册商标的货物的；</w:t>
            </w:r>
          </w:p>
          <w:p>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（3）投标文件中标明的小型或微型企业产品的制造商不符合“工信部联企业[2011]300号”规定的小型和微型企业标准的。</w:t>
            </w:r>
          </w:p>
          <w:p>
            <w:pPr>
              <w:pStyle w:val="2"/>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在评审过程中发现上述虚假情形的，该投标人的投标作无效投标处理。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noWrap w:val="0"/>
            <w:vAlign w:val="center"/>
          </w:tcPr>
          <w:p>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27</w:t>
            </w:r>
          </w:p>
        </w:tc>
        <w:tc>
          <w:tcPr>
            <w:tcW w:w="397" w:type="pct"/>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813" w:type="pct"/>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390" w:type="pct"/>
            <w:noWrap w:val="0"/>
            <w:vAlign w:val="center"/>
          </w:tcPr>
          <w:p>
            <w:pPr>
              <w:pStyle w:val="2"/>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减半交纳投标保证金的投标人未按照招标文件格式要求在投标文件中提供《中小企业声明函》的，其投标作无效投标处理。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28</w:t>
            </w:r>
          </w:p>
        </w:tc>
        <w:tc>
          <w:tcPr>
            <w:tcW w:w="397"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81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390"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投标人应按照招标文件格式要求在投标文件中提供《廉洁承诺书》原件（投标人为联合体的，联合体各方均应提供《廉洁承诺书》原件），否则作无效投标处理。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29</w:t>
            </w:r>
          </w:p>
        </w:tc>
        <w:tc>
          <w:tcPr>
            <w:tcW w:w="397"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813" w:type="pct"/>
            <w:tcBorders>
              <w:bottom w:val="single" w:color="auto" w:sz="4" w:space="0"/>
            </w:tcBorders>
            <w:noWrap w:val="0"/>
            <w:vAlign w:val="center"/>
          </w:tcPr>
          <w:p>
            <w:pPr>
              <w:pStyle w:val="2"/>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3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其他不满足招标文件要求经评标委员会认定须作无效投标处理的。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30</w:t>
            </w:r>
          </w:p>
        </w:tc>
        <w:tc>
          <w:tcPr>
            <w:tcW w:w="397"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3"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3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firstLine="482" w:firstLineChars="200"/>
              <w:rPr>
                <w:rFonts w:hint="default" w:ascii="宋体" w:hAnsi="宋体" w:cs="宋体"/>
                <w:b/>
                <w:color w:val="auto"/>
                <w:sz w:val="24"/>
                <w:szCs w:val="24"/>
                <w:highlight w:val="none"/>
              </w:rPr>
            </w:pPr>
            <w:r>
              <w:rPr>
                <w:rFonts w:hint="eastAsia" w:ascii="宋体" w:hAnsi="宋体" w:cs="宋体"/>
                <w:b/>
                <w:bCs/>
                <w:color w:val="auto"/>
                <w:sz w:val="24"/>
                <w:szCs w:val="24"/>
                <w:highlight w:val="none"/>
              </w:rPr>
              <w:t>*8.投标人在递交投标文件时应提供以下样品</w:t>
            </w:r>
            <w:r>
              <w:rPr>
                <w:rFonts w:hint="eastAsia" w:ascii="宋体" w:hAnsi="宋体" w:cs="宋体"/>
                <w:b/>
                <w:color w:val="auto"/>
                <w:sz w:val="24"/>
                <w:szCs w:val="24"/>
                <w:highlight w:val="none"/>
              </w:rPr>
              <w:t>，提供的样品不符合招标内容要求的参数尺寸、结构、外观造型、材质或提供样品不齐全的（不接受3D打印小样），按无效投标处理。产品中有尺寸要求但未明确尺寸偏离值的，均要求其尺寸的偏离值不超过1%（除有明确尺寸偏离值外）：</w:t>
            </w:r>
          </w:p>
          <w:p>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详见招标文件内容。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31</w:t>
            </w:r>
          </w:p>
        </w:tc>
        <w:tc>
          <w:tcPr>
            <w:tcW w:w="397"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3"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390" w:type="pct"/>
            <w:tcBorders>
              <w:bottom w:val="single" w:color="auto" w:sz="4" w:space="0"/>
            </w:tcBorders>
            <w:noWrap w:val="0"/>
            <w:vAlign w:val="center"/>
          </w:tcPr>
          <w:p>
            <w:pPr>
              <w:keepNext w:val="0"/>
              <w:keepLines w:val="0"/>
              <w:widowControl/>
              <w:suppressLineNumbers w:val="0"/>
              <w:spacing w:before="0" w:beforeAutospacing="0" w:after="0" w:afterAutospacing="0" w:line="360" w:lineRule="auto"/>
              <w:ind w:left="0" w:right="0" w:firstLine="470"/>
              <w:jc w:val="left"/>
              <w:rPr>
                <w:rFonts w:hint="eastAsia" w:ascii="宋体" w:hAnsi="宋体" w:eastAsia="宋体" w:cs="宋体"/>
                <w:color w:val="auto"/>
                <w:sz w:val="24"/>
                <w:szCs w:val="24"/>
                <w:highlight w:val="none"/>
              </w:rPr>
            </w:pPr>
            <w:r>
              <w:rPr>
                <w:rFonts w:hint="eastAsia" w:ascii="宋体" w:hAnsi="宋体"/>
                <w:b/>
                <w:bCs/>
                <w:color w:val="auto"/>
                <w:sz w:val="24"/>
                <w:szCs w:val="24"/>
                <w:highlight w:val="none"/>
              </w:rPr>
              <w:t>*10.投标人提供的样品及投标现场对样品的盛装物均不得出现公司名称、标志、符号和商标等可能泄露投标人信息的标识。未按规定提供样品的投标人，将不能作为中标供应商。中标供应商的样品将作为验收依据，在货物供货验收完毕后给予退还。样品需在投标截止时间前，</w:t>
            </w:r>
            <w:r>
              <w:rPr>
                <w:rFonts w:hint="eastAsia" w:ascii="宋体" w:hAnsi="宋体"/>
                <w:b/>
                <w:color w:val="auto"/>
                <w:sz w:val="24"/>
                <w:szCs w:val="24"/>
                <w:highlight w:val="none"/>
              </w:rPr>
              <w:t>送至</w:t>
            </w:r>
            <w:r>
              <w:rPr>
                <w:rFonts w:hint="eastAsia" w:ascii="宋体" w:hAnsi="宋体"/>
                <w:b/>
                <w:color w:val="auto"/>
                <w:sz w:val="24"/>
                <w:highlight w:val="none"/>
                <w:u w:val="single"/>
              </w:rPr>
              <w:t>厦门市湖里区云顶北路842号厦门市政务服务中心</w:t>
            </w:r>
            <w:r>
              <w:rPr>
                <w:rFonts w:hint="eastAsia" w:ascii="宋体" w:hAnsi="宋体"/>
                <w:b/>
                <w:color w:val="auto"/>
                <w:sz w:val="24"/>
                <w:highlight w:val="none"/>
                <w:u w:val="single"/>
                <w:lang w:val="en-US" w:eastAsia="zh-CN"/>
              </w:rPr>
              <w:t>负一楼</w:t>
            </w:r>
            <w:r>
              <w:rPr>
                <w:rFonts w:hint="eastAsia" w:ascii="宋体" w:hAnsi="宋体"/>
                <w:b/>
                <w:color w:val="auto"/>
                <w:sz w:val="24"/>
                <w:highlight w:val="none"/>
                <w:u w:val="single"/>
              </w:rPr>
              <w:t>样品间</w:t>
            </w:r>
            <w:r>
              <w:rPr>
                <w:rFonts w:hint="eastAsia" w:ascii="宋体" w:hAnsi="宋体"/>
                <w:b/>
                <w:color w:val="auto"/>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32</w:t>
            </w:r>
          </w:p>
        </w:tc>
        <w:tc>
          <w:tcPr>
            <w:tcW w:w="397"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3"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3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b/>
                <w:color w:val="auto"/>
                <w:sz w:val="24"/>
                <w:szCs w:val="24"/>
                <w:highlight w:val="none"/>
              </w:rPr>
              <w:t>*1.投标人应在投标文件中提供详细的质量保证期及售后服务方案承诺，并加盖单位公章。承诺至少应包含以下内容①所有货物质量保证期至少为5年，自最终验收合格之日起算；②所有货物如无特别指明售后服务要求, 投标人到现场的售后服务及技术支持响应时间不能超过2小时；小件货物的修复时间或更换时间不能超过2个小时，大件货物的修复时间或更换时间不能超过24个小时(从提出现场服务要求开始算起)。24小时内不能修复的须提供备用货物；③在质量保证期内，因质量问题而发生损坏或不能进行正常使用时，投标人应免费进行维修或更换；④在质量保证期内，安排至少两名专人与使用单位建立服务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33</w:t>
            </w:r>
          </w:p>
        </w:tc>
        <w:tc>
          <w:tcPr>
            <w:tcW w:w="397"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3"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390" w:type="pct"/>
            <w:tcBorders>
              <w:bottom w:val="single" w:color="auto" w:sz="4" w:space="0"/>
            </w:tcBorders>
            <w:noWrap w:val="0"/>
            <w:vAlign w:val="center"/>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b/>
                <w:color w:val="auto"/>
                <w:sz w:val="24"/>
                <w:szCs w:val="24"/>
                <w:highlight w:val="none"/>
              </w:rPr>
              <w:t>*1.投标人须以人民币报价且总报价应含货物费、运至采购单位指定地点的运输费、保险费和伴随服务费（包括产品检验检测）、安装调试（包括安装所需的辅材、配件等）费用、税收及售后服务等可能产生的一切费用，报价方式为指定目的地价。采购单位不接受有选择的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 w:type="pct"/>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34</w:t>
            </w:r>
          </w:p>
        </w:tc>
        <w:tc>
          <w:tcPr>
            <w:tcW w:w="397"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3" w:type="pct"/>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390" w:type="pct"/>
            <w:noWrap w:val="0"/>
            <w:vAlign w:val="center"/>
          </w:tcPr>
          <w:p>
            <w:pPr>
              <w:keepNext w:val="0"/>
              <w:keepLines w:val="0"/>
              <w:widowControl w:val="0"/>
              <w:suppressLineNumbers w:val="0"/>
              <w:spacing w:before="0" w:beforeAutospacing="0" w:after="0" w:afterAutospacing="0" w:line="360" w:lineRule="auto"/>
              <w:ind w:left="0" w:right="0" w:firstLine="482" w:firstLineChars="200"/>
              <w:jc w:val="both"/>
              <w:rPr>
                <w:rFonts w:hint="eastAsia" w:ascii="宋体" w:hAnsi="宋体" w:eastAsia="宋体" w:cs="宋体"/>
                <w:color w:val="auto"/>
                <w:sz w:val="24"/>
                <w:szCs w:val="24"/>
                <w:highlight w:val="none"/>
              </w:rPr>
            </w:pPr>
            <w:r>
              <w:rPr>
                <w:rFonts w:hint="eastAsia" w:ascii="宋体" w:hAnsi="宋体"/>
                <w:b/>
                <w:color w:val="auto"/>
                <w:sz w:val="24"/>
                <w:szCs w:val="24"/>
                <w:highlight w:val="none"/>
              </w:rPr>
              <w:t>*2.</w:t>
            </w:r>
            <w:r>
              <w:rPr>
                <w:rFonts w:hint="eastAsia" w:ascii="宋体" w:hAnsi="宋体" w:eastAsia="宋体" w:cs="宋体"/>
                <w:b/>
                <w:bCs w:val="0"/>
                <w:color w:val="auto"/>
                <w:kern w:val="2"/>
                <w:sz w:val="24"/>
                <w:szCs w:val="24"/>
                <w:highlight w:val="none"/>
                <w:lang w:val="en-US" w:eastAsia="zh-CN" w:bidi="ar"/>
              </w:rPr>
              <w:t>本</w:t>
            </w:r>
            <w:r>
              <w:rPr>
                <w:rFonts w:hint="eastAsia" w:ascii="宋体" w:hAnsi="宋体" w:eastAsia="宋体" w:cs="宋体"/>
                <w:b/>
                <w:bCs w:val="0"/>
                <w:color w:val="auto"/>
                <w:spacing w:val="4"/>
                <w:kern w:val="2"/>
                <w:sz w:val="24"/>
                <w:szCs w:val="24"/>
                <w:highlight w:val="none"/>
                <w:lang w:val="en-US" w:eastAsia="zh-CN" w:bidi="ar"/>
              </w:rPr>
              <w:t>项目的采购预算为人民币</w:t>
            </w:r>
            <w:r>
              <w:rPr>
                <w:rFonts w:hint="eastAsia" w:ascii="宋体" w:hAnsi="宋体"/>
                <w:b/>
                <w:color w:val="auto"/>
                <w:sz w:val="24"/>
                <w:szCs w:val="24"/>
                <w:highlight w:val="none"/>
                <w:lang w:val="en-US" w:eastAsia="zh-CN"/>
              </w:rPr>
              <w:t>449</w:t>
            </w:r>
            <w:r>
              <w:rPr>
                <w:rFonts w:hint="eastAsia" w:ascii="宋体" w:hAnsi="宋体" w:eastAsia="宋体" w:cs="宋体"/>
                <w:b/>
                <w:bCs w:val="0"/>
                <w:color w:val="auto"/>
                <w:spacing w:val="4"/>
                <w:kern w:val="2"/>
                <w:sz w:val="24"/>
                <w:szCs w:val="24"/>
                <w:highlight w:val="none"/>
                <w:lang w:val="en-US" w:eastAsia="zh-CN" w:bidi="ar"/>
              </w:rPr>
              <w:t>万元，采购预算为总报价的最高限价，任何一次总报价超过采购预算的属无效投标</w:t>
            </w:r>
            <w:r>
              <w:rPr>
                <w:rFonts w:hint="eastAsia" w:ascii="宋体" w:hAnsi="宋体"/>
                <w:b/>
                <w:color w:val="auto"/>
                <w:sz w:val="24"/>
                <w:szCs w:val="24"/>
                <w:highlight w:val="none"/>
              </w:rPr>
              <w:t>。</w:t>
            </w:r>
          </w:p>
        </w:tc>
      </w:tr>
    </w:tbl>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备注：由于编排顺序混乱而导致投标文件被误读或漏读，该投标人的投标可能被视为无效投标或承担不利的评标结果。</w:t>
      </w:r>
    </w:p>
    <w:p>
      <w:pPr>
        <w:spacing w:line="360" w:lineRule="auto"/>
        <w:jc w:val="center"/>
        <w:rPr>
          <w:rFonts w:hint="default" w:ascii="宋体" w:hAnsi="宋体" w:eastAsia="宋体" w:cs="宋体"/>
          <w:color w:val="auto"/>
          <w:sz w:val="32"/>
          <w:szCs w:val="32"/>
          <w:highlight w:val="none"/>
        </w:rPr>
      </w:pPr>
    </w:p>
    <w:p>
      <w:pPr>
        <w:spacing w:line="360" w:lineRule="auto"/>
        <w:jc w:val="center"/>
        <w:rPr>
          <w:rFonts w:hint="eastAsia" w:ascii="宋体" w:hAnsi="宋体" w:eastAsia="宋体" w:cs="宋体"/>
          <w:color w:val="auto"/>
          <w:sz w:val="32"/>
          <w:szCs w:val="32"/>
          <w:highlight w:val="none"/>
        </w:rPr>
      </w:pPr>
    </w:p>
    <w:p>
      <w:pPr>
        <w:spacing w:line="360" w:lineRule="auto"/>
        <w:jc w:val="center"/>
        <w:rPr>
          <w:rFonts w:hint="eastAsia" w:ascii="宋体" w:hAnsi="宋体" w:eastAsia="宋体" w:cs="宋体"/>
          <w:color w:val="auto"/>
          <w:sz w:val="32"/>
          <w:szCs w:val="32"/>
          <w:highlight w:val="none"/>
        </w:rPr>
      </w:pPr>
    </w:p>
    <w:p>
      <w:pPr>
        <w:spacing w:line="360" w:lineRule="auto"/>
        <w:jc w:val="center"/>
        <w:rPr>
          <w:rFonts w:hint="eastAsia" w:ascii="宋体" w:hAnsi="宋体" w:eastAsia="宋体" w:cs="宋体"/>
          <w:color w:val="auto"/>
          <w:sz w:val="32"/>
          <w:szCs w:val="32"/>
          <w:highlight w:val="none"/>
        </w:rPr>
      </w:pPr>
    </w:p>
    <w:p>
      <w:pPr>
        <w:spacing w:line="360" w:lineRule="auto"/>
        <w:jc w:val="center"/>
        <w:rPr>
          <w:rFonts w:hint="eastAsia" w:ascii="宋体" w:hAnsi="宋体" w:eastAsia="宋体" w:cs="宋体"/>
          <w:color w:val="auto"/>
          <w:sz w:val="32"/>
          <w:szCs w:val="32"/>
          <w:highlight w:val="none"/>
        </w:rPr>
      </w:pPr>
    </w:p>
    <w:p>
      <w:pPr>
        <w:spacing w:line="360" w:lineRule="auto"/>
        <w:jc w:val="center"/>
        <w:rPr>
          <w:rFonts w:hint="eastAsia" w:ascii="宋体" w:hAnsi="宋体" w:eastAsia="宋体" w:cs="宋体"/>
          <w:color w:val="auto"/>
          <w:sz w:val="32"/>
          <w:szCs w:val="32"/>
          <w:highlight w:val="none"/>
        </w:rPr>
      </w:pPr>
    </w:p>
    <w:p>
      <w:pPr>
        <w:spacing w:line="360" w:lineRule="auto"/>
        <w:jc w:val="center"/>
        <w:rPr>
          <w:rFonts w:hint="eastAsia" w:ascii="宋体" w:hAnsi="宋体" w:eastAsia="宋体" w:cs="宋体"/>
          <w:color w:val="auto"/>
          <w:sz w:val="32"/>
          <w:szCs w:val="32"/>
          <w:highlight w:val="none"/>
        </w:rPr>
      </w:pPr>
    </w:p>
    <w:p>
      <w:pPr>
        <w:spacing w:line="360" w:lineRule="auto"/>
        <w:jc w:val="center"/>
        <w:rPr>
          <w:rFonts w:hint="eastAsia" w:ascii="宋体" w:hAnsi="宋体" w:eastAsia="宋体" w:cs="宋体"/>
          <w:color w:val="auto"/>
          <w:sz w:val="32"/>
          <w:szCs w:val="32"/>
          <w:highlight w:val="none"/>
        </w:rPr>
      </w:pPr>
    </w:p>
    <w:p>
      <w:pPr>
        <w:spacing w:line="360" w:lineRule="auto"/>
        <w:jc w:val="center"/>
        <w:rPr>
          <w:rFonts w:hint="eastAsia" w:ascii="宋体" w:hAnsi="宋体" w:eastAsia="宋体" w:cs="宋体"/>
          <w:color w:val="auto"/>
          <w:sz w:val="32"/>
          <w:szCs w:val="32"/>
          <w:highlight w:val="none"/>
        </w:rPr>
      </w:pPr>
    </w:p>
    <w:p>
      <w:pPr>
        <w:spacing w:line="360" w:lineRule="auto"/>
        <w:jc w:val="center"/>
        <w:rPr>
          <w:rFonts w:hint="eastAsia" w:ascii="宋体" w:hAnsi="宋体" w:eastAsia="宋体" w:cs="宋体"/>
          <w:color w:val="auto"/>
          <w:sz w:val="32"/>
          <w:szCs w:val="32"/>
          <w:highlight w:val="none"/>
        </w:rPr>
      </w:pPr>
    </w:p>
    <w:p>
      <w:pPr>
        <w:spacing w:line="360" w:lineRule="auto"/>
        <w:jc w:val="center"/>
        <w:rPr>
          <w:rFonts w:hint="eastAsia" w:ascii="宋体" w:hAnsi="宋体" w:eastAsia="宋体" w:cs="宋体"/>
          <w:b/>
          <w:color w:val="auto"/>
          <w:sz w:val="32"/>
          <w:szCs w:val="32"/>
          <w:highlight w:val="none"/>
          <w:u w:val="single"/>
        </w:rPr>
      </w:pPr>
      <w:r>
        <w:rPr>
          <w:rFonts w:hint="eastAsia" w:ascii="宋体" w:hAnsi="宋体" w:eastAsia="宋体" w:cs="宋体"/>
          <w:color w:val="auto"/>
          <w:sz w:val="32"/>
          <w:szCs w:val="32"/>
          <w:highlight w:val="none"/>
        </w:rPr>
        <w:t>投标人须知前附表3：评标方法、评标标准、定标原则</w:t>
      </w:r>
    </w:p>
    <w:tbl>
      <w:tblPr>
        <w:tblStyle w:val="14"/>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pPr>
              <w:pStyle w:val="2"/>
              <w:keepNext w:val="0"/>
              <w:keepLines w:val="0"/>
              <w:numPr>
                <w:ilvl w:val="0"/>
                <w:numId w:val="1"/>
              </w:numPr>
              <w:suppressLineNumbers w:val="0"/>
              <w:snapToGrid w:val="0"/>
              <w:spacing w:before="0" w:beforeAutospacing="0" w:after="0" w:afterAutospacing="0" w:line="360" w:lineRule="auto"/>
              <w:ind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评标方法：</w:t>
            </w:r>
          </w:p>
          <w:p>
            <w:pPr>
              <w:pStyle w:val="2"/>
              <w:keepNext w:val="0"/>
              <w:keepLines w:val="0"/>
              <w:suppressLineNumbers w:val="0"/>
              <w:snapToGrid w:val="0"/>
              <w:spacing w:before="0" w:beforeAutospacing="0" w:after="0" w:afterAutospacing="0" w:line="360" w:lineRule="auto"/>
              <w:ind w:left="480" w:right="0" w:firstLine="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 xml:space="preserve">综合评分法  □ 最低评标价法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二、评标标准：</w:t>
            </w:r>
          </w:p>
          <w:p>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（一）具体的评标标准、权重。</w:t>
            </w:r>
          </w:p>
          <w:p>
            <w:pPr>
              <w:pStyle w:val="2"/>
              <w:keepNext w:val="0"/>
              <w:keepLines w:val="0"/>
              <w:suppressLineNumbers w:val="0"/>
              <w:snapToGrid w:val="0"/>
              <w:spacing w:before="0" w:beforeAutospacing="0" w:after="0" w:afterAutospacing="0" w:line="360" w:lineRule="auto"/>
              <w:ind w:left="0" w:right="0"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详见附件</w:t>
            </w:r>
          </w:p>
          <w:p>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（二）推荐中标候选供应商名单。</w:t>
            </w:r>
          </w:p>
          <w:p>
            <w:pPr>
              <w:pStyle w:val="2"/>
              <w:keepNext w:val="0"/>
              <w:keepLines w:val="0"/>
              <w:suppressLineNumbers w:val="0"/>
              <w:snapToGrid w:val="0"/>
              <w:spacing w:before="0" w:beforeAutospacing="0" w:after="0" w:afterAutospacing="0" w:line="360" w:lineRule="auto"/>
              <w:ind w:left="0" w:right="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1、中标候选供应商数量：</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3</w:t>
            </w:r>
            <w:r>
              <w:rPr>
                <w:rFonts w:hint="eastAsia" w:ascii="宋体" w:hAnsi="宋体" w:eastAsia="宋体" w:cs="宋体"/>
                <w:color w:val="auto"/>
                <w:sz w:val="24"/>
                <w:szCs w:val="24"/>
                <w:highlight w:val="none"/>
              </w:rPr>
              <w:t>个。</w:t>
            </w:r>
          </w:p>
          <w:p>
            <w:pPr>
              <w:pStyle w:val="2"/>
              <w:keepNext w:val="0"/>
              <w:keepLines w:val="0"/>
              <w:suppressLineNumbers w:val="0"/>
              <w:snapToGrid w:val="0"/>
              <w:spacing w:before="0" w:beforeAutospacing="0" w:after="0" w:afterAutospacing="0" w:line="360" w:lineRule="auto"/>
              <w:ind w:left="0" w:right="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2、中标候选供应商排列顺序。经投标文件初审、澄清有关问题、比较与评价评标程序后，按以下办法推荐中标候选供应商名单的排列顺序（请按采购项目的评标方法从以下两项中选择一项打“√”）：</w:t>
            </w:r>
          </w:p>
          <w:p>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□采用最低评标价法的，按投标报价由低到高顺序排列。投标报价相同的，按技术指标优劣顺序排列。</w:t>
            </w:r>
          </w:p>
          <w:p>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采用综合评分法的，按评审后得分由高到低顺序排列。得分相同的，按投标报价由低到高顺序排列。得分且投标报价相同的，按技术指标优劣顺序排列。</w:t>
            </w:r>
          </w:p>
          <w:p>
            <w:pPr>
              <w:pStyle w:val="2"/>
              <w:keepNext w:val="0"/>
              <w:keepLines w:val="0"/>
              <w:suppressLineNumbers w:val="0"/>
              <w:snapToGrid w:val="0"/>
              <w:spacing w:before="0" w:beforeAutospacing="0" w:after="0" w:afterAutospacing="0" w:line="360" w:lineRule="auto"/>
              <w:ind w:left="0" w:right="0" w:firstLine="420" w:firstLineChars="1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3、综合评分法特别无效投标认定</w:t>
            </w:r>
          </w:p>
          <w:p>
            <w:pPr>
              <w:pStyle w:val="2"/>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对技术部分评分，无论是采用负偏离扣分、或不满足不得分、或按指标优劣程度评分的评分标准，投标人技术部分的实际得分少于招标文件设定的技术部分总分50%的认定为无效投标。</w:t>
            </w:r>
          </w:p>
          <w:p>
            <w:pPr>
              <w:pStyle w:val="6"/>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4、关于同一品牌产品投标的相关规定</w:t>
            </w:r>
          </w:p>
          <w:p>
            <w:pPr>
              <w:pStyle w:val="6"/>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如果有多家投标人以同一品牌的产品参加投标，只能视为一家。</w:t>
            </w:r>
          </w:p>
          <w:p>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采用</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"http://lilun.caigou2003.com/recijiedu/2365668.html"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最低评标价法</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的采购项目，提供相同品牌产品的不同投标人参加同一合同项下投标的，以其中通过资格审查、符合性审查且报价最低的参加评标；报价相同的，由</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"http://lilun.caigou2003.com/recijiedu/2539165.html"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评标委员会</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按照招标文件规定的方式确定一个参加评标的投标人，招标文件未规定的采取随机抽取方式确定，其他投标无效。</w:t>
            </w:r>
          </w:p>
          <w:p>
            <w:pPr>
              <w:keepNext w:val="0"/>
              <w:keepLines w:val="0"/>
              <w:suppressLineNumbers w:val="0"/>
              <w:spacing w:before="0" w:beforeAutospacing="0" w:after="0" w:afterAutospacing="0" w:line="360" w:lineRule="auto"/>
              <w:ind w:left="0" w:right="0" w:firstLine="32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使用</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"http://lilun.caigou2003.com/recijiedu/2365667.html"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综合评分法</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的采购项目，提供相同品牌产品且通过资格审查、符合性审查的不同投标人参加同一合同项下投标的，按一家投标人计算，评审后得分最高的同品牌投标人获得中标供应商推荐资格；评审得分相同的，由</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委托评标委员会按照招标文件规定的方式确定一个投标人获得中标供应商推荐资格，招标文件未规定的采取随机抽取方式确定，其他同品牌投标人不作为中标候选人。</w:t>
            </w:r>
          </w:p>
          <w:p>
            <w:pPr>
              <w:pStyle w:val="2"/>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非单一产品采购项目，</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应当根据采购项目技术构成、产品价格比重等合理确定核心产品，并在招标文件中载明。多家投标人提供的核心产品品牌相同的，按前两款规定处理。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pPr>
              <w:pStyle w:val="2"/>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三、定标原则（确定中标供应商数量：</w:t>
            </w:r>
            <w:r>
              <w:rPr>
                <w:rFonts w:hint="eastAsia" w:ascii="宋体" w:hAnsi="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w:t>
            </w:r>
          </w:p>
          <w:p>
            <w:pPr>
              <w:pStyle w:val="2"/>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委托招标代理机构招标，在收到评标报告后五个工作日内，按照评标报告中推荐的中标候选供应商顺序确定中标供应商。</w:t>
            </w:r>
          </w:p>
          <w:p>
            <w:pPr>
              <w:pStyle w:val="2"/>
              <w:keepNext w:val="0"/>
              <w:keepLines w:val="0"/>
              <w:suppressLineNumbers w:val="0"/>
              <w:snapToGrid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委托招标代理机构招标，授权评标委员会直接确定中标供应商。</w:t>
            </w:r>
          </w:p>
          <w:p>
            <w:pPr>
              <w:pStyle w:val="2"/>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自行组织招标，在评标结束后五个工作日内确定中标供应商。</w:t>
            </w:r>
          </w:p>
        </w:tc>
      </w:tr>
    </w:tbl>
    <w:p>
      <w:pPr>
        <w:pStyle w:val="2"/>
        <w:snapToGrid w:val="0"/>
        <w:spacing w:line="360" w:lineRule="auto"/>
        <w:ind w:firstLine="0"/>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注：以联合体形式投标的，只能以联合体其中一方具备的条件作为评标依据。投标人应在投标文件中明确以联合体的确定一方的条件参与商务评分，投标人未明确的，则该投标人的该项商务评分按最低分处理。</w:t>
      </w:r>
    </w:p>
    <w:p>
      <w:pPr>
        <w:tabs>
          <w:tab w:val="left" w:pos="-1080"/>
          <w:tab w:val="left" w:pos="180"/>
          <w:tab w:val="left" w:pos="1080"/>
        </w:tabs>
        <w:spacing w:line="360" w:lineRule="auto"/>
        <w:rPr>
          <w:rFonts w:hint="eastAsia" w:ascii="宋体" w:hAnsi="宋体" w:eastAsia="宋体" w:cs="宋体"/>
          <w:b/>
          <w:color w:val="auto"/>
          <w:sz w:val="24"/>
          <w:szCs w:val="24"/>
          <w:highlight w:val="none"/>
        </w:rPr>
      </w:pPr>
    </w:p>
    <w:p>
      <w:pPr>
        <w:tabs>
          <w:tab w:val="left" w:pos="-1080"/>
          <w:tab w:val="left" w:pos="180"/>
          <w:tab w:val="left" w:pos="1080"/>
        </w:tabs>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附件：评标标准、权重</w:t>
      </w:r>
    </w:p>
    <w:p>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（一）技术评分(F1)：按</w:t>
      </w:r>
      <w:r>
        <w:rPr>
          <w:rFonts w:hint="eastAsia" w:ascii="宋体" w:hAnsi="宋体" w:cs="宋体"/>
          <w:color w:val="auto"/>
          <w:sz w:val="24"/>
          <w:szCs w:val="24"/>
          <w:highlight w:val="none"/>
          <w:lang w:val="en-US" w:eastAsia="zh-CN"/>
        </w:rPr>
        <w:t>55</w:t>
      </w:r>
      <w:r>
        <w:rPr>
          <w:rFonts w:hint="eastAsia" w:ascii="宋体" w:hAnsi="宋体" w:eastAsia="宋体" w:cs="宋体"/>
          <w:color w:val="auto"/>
          <w:sz w:val="24"/>
          <w:szCs w:val="24"/>
          <w:highlight w:val="none"/>
        </w:rPr>
        <w:t>分评分法，技术评分考虑下列因素：</w:t>
      </w:r>
    </w:p>
    <w:tbl>
      <w:tblPr>
        <w:tblStyle w:val="14"/>
        <w:tblW w:w="8494" w:type="dxa"/>
        <w:tblInd w:w="-18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657"/>
        <w:gridCol w:w="780"/>
        <w:gridCol w:w="7057"/>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Header/>
        </w:trPr>
        <w:tc>
          <w:tcPr>
            <w:tcW w:w="6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spacing w:before="0" w:beforeAutospacing="0" w:after="0" w:afterAutospacing="0"/>
              <w:ind w:left="0" w:right="0"/>
              <w:jc w:val="left"/>
              <w:rPr>
                <w:rFonts w:hint="default"/>
                <w:color w:val="auto"/>
                <w:highlight w:val="none"/>
              </w:rPr>
            </w:pPr>
            <w:r>
              <w:rPr>
                <w:rFonts w:hint="default" w:ascii="宋体" w:hAnsi="宋体" w:eastAsia="宋体" w:cs="宋体"/>
                <w:color w:val="auto"/>
                <w:kern w:val="0"/>
                <w:sz w:val="24"/>
                <w:szCs w:val="24"/>
                <w:highlight w:val="none"/>
                <w:lang w:val="en-US" w:eastAsia="zh-CN" w:bidi="ar"/>
              </w:rPr>
              <w:t>评标项目</w:t>
            </w:r>
          </w:p>
        </w:tc>
        <w:tc>
          <w:tcPr>
            <w:tcW w:w="780" w:type="dxa"/>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spacing w:before="0" w:beforeAutospacing="0" w:after="0" w:afterAutospacing="0"/>
              <w:ind w:left="0" w:right="0"/>
              <w:jc w:val="left"/>
              <w:rPr>
                <w:rFonts w:hint="default"/>
                <w:color w:val="auto"/>
                <w:highlight w:val="none"/>
              </w:rPr>
            </w:pPr>
            <w:r>
              <w:rPr>
                <w:rFonts w:hint="default" w:ascii="宋体" w:hAnsi="宋体" w:eastAsia="宋体" w:cs="宋体"/>
                <w:color w:val="auto"/>
                <w:kern w:val="0"/>
                <w:sz w:val="24"/>
                <w:szCs w:val="24"/>
                <w:highlight w:val="none"/>
                <w:lang w:val="en-US" w:eastAsia="zh-CN" w:bidi="ar"/>
              </w:rPr>
              <w:t>评标分值</w:t>
            </w:r>
          </w:p>
        </w:tc>
        <w:tc>
          <w:tcPr>
            <w:tcW w:w="70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spacing w:before="0" w:beforeAutospacing="0" w:after="0" w:afterAutospacing="0"/>
              <w:ind w:left="0" w:right="0"/>
              <w:jc w:val="left"/>
              <w:rPr>
                <w:rFonts w:hint="default"/>
                <w:color w:val="auto"/>
                <w:highlight w:val="none"/>
              </w:rPr>
            </w:pPr>
            <w:r>
              <w:rPr>
                <w:rFonts w:hint="default" w:ascii="宋体" w:hAnsi="宋体" w:eastAsia="宋体" w:cs="宋体"/>
                <w:color w:val="auto"/>
                <w:kern w:val="0"/>
                <w:sz w:val="24"/>
                <w:szCs w:val="24"/>
                <w:highlight w:val="none"/>
                <w:lang w:val="en-US" w:eastAsia="zh-CN" w:bidi="ar"/>
              </w:rPr>
              <w:t>评标方法描述</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456" w:hRule="atLeast"/>
        </w:trPr>
        <w:tc>
          <w:tcPr>
            <w:tcW w:w="6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1</w:t>
            </w:r>
          </w:p>
        </w:tc>
        <w:tc>
          <w:tcPr>
            <w:tcW w:w="780"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3</w:t>
            </w:r>
          </w:p>
        </w:tc>
        <w:tc>
          <w:tcPr>
            <w:tcW w:w="70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根据投标人的</w:t>
            </w:r>
            <w:r>
              <w:rPr>
                <w:rFonts w:hint="eastAsia" w:ascii="宋体" w:hAnsi="宋体" w:cs="宋体"/>
                <w:color w:val="auto"/>
                <w:sz w:val="18"/>
                <w:szCs w:val="18"/>
                <w:highlight w:val="none"/>
                <w:lang w:val="en-US" w:eastAsia="zh-CN"/>
              </w:rPr>
              <w:t>生产实施</w:t>
            </w:r>
            <w:r>
              <w:rPr>
                <w:rFonts w:hint="eastAsia" w:ascii="宋体" w:hAnsi="宋体" w:eastAsia="宋体" w:cs="宋体"/>
                <w:color w:val="auto"/>
                <w:sz w:val="18"/>
                <w:szCs w:val="18"/>
                <w:highlight w:val="none"/>
              </w:rPr>
              <w:t>方案包含：</w:t>
            </w:r>
          </w:p>
          <w:p>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 xml:space="preserve">1、生产实施方案详细、合理，能按照项目的分解节点，并可跟踪实施， </w:t>
            </w:r>
          </w:p>
          <w:p>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有计划的完成本项目家具的生产的，有专门的品质管控制度和专门品质管控人员，能确保产品生产过程中的质量控制，得</w:t>
            </w:r>
            <w:r>
              <w:rPr>
                <w:rFonts w:hint="default" w:ascii="宋体" w:hAnsi="宋体" w:eastAsia="宋体" w:cs="宋体"/>
                <w:color w:val="auto"/>
                <w:sz w:val="18"/>
                <w:szCs w:val="18"/>
                <w:highlight w:val="none"/>
                <w:lang w:val="en-US" w:eastAsia="zh-CN"/>
              </w:rPr>
              <w:t>3</w:t>
            </w:r>
            <w:r>
              <w:rPr>
                <w:rFonts w:hint="eastAsia" w:ascii="宋体" w:hAnsi="宋体" w:eastAsia="宋体" w:cs="宋体"/>
                <w:color w:val="auto"/>
                <w:sz w:val="18"/>
                <w:szCs w:val="18"/>
                <w:highlight w:val="none"/>
                <w:lang w:val="en-US" w:eastAsia="zh-CN"/>
              </w:rPr>
              <w:t xml:space="preserve">分； </w:t>
            </w:r>
          </w:p>
          <w:p>
            <w:pPr>
              <w:keepNext w:val="0"/>
              <w:keepLines w:val="0"/>
              <w:widowControl/>
              <w:numPr>
                <w:ilvl w:val="0"/>
                <w:numId w:val="2"/>
              </w:numPr>
              <w:suppressLineNumbers w:val="0"/>
              <w:spacing w:before="0" w:beforeAutospacing="0" w:after="0" w:afterAutospacing="0"/>
              <w:ind w:left="0" w:right="0"/>
              <w:jc w:val="lef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生产实施方案比较完整详细、基本合理，能按照项目的分解节点，基本可跟踪实施，完成本项目家具的生产的，有专门的品质管控制度和专门品质 管控人员，能确保产品生产过程中的质量控制，得</w:t>
            </w:r>
            <w:r>
              <w:rPr>
                <w:rFonts w:hint="default" w:ascii="宋体" w:hAnsi="宋体" w:eastAsia="宋体" w:cs="宋体"/>
                <w:color w:val="auto"/>
                <w:sz w:val="18"/>
                <w:szCs w:val="18"/>
                <w:highlight w:val="none"/>
                <w:lang w:val="en-US" w:eastAsia="zh-CN"/>
              </w:rPr>
              <w:t>2</w:t>
            </w:r>
            <w:r>
              <w:rPr>
                <w:rFonts w:hint="eastAsia" w:ascii="宋体" w:hAnsi="宋体" w:eastAsia="宋体" w:cs="宋体"/>
                <w:color w:val="auto"/>
                <w:sz w:val="18"/>
                <w:szCs w:val="18"/>
                <w:highlight w:val="none"/>
                <w:lang w:val="en-US" w:eastAsia="zh-CN"/>
              </w:rPr>
              <w:t xml:space="preserve">分； </w:t>
            </w:r>
          </w:p>
          <w:p>
            <w:pPr>
              <w:keepNext w:val="0"/>
              <w:keepLines w:val="0"/>
              <w:widowControl/>
              <w:numPr>
                <w:ilvl w:val="0"/>
                <w:numId w:val="2"/>
              </w:numPr>
              <w:suppressLineNumbers w:val="0"/>
              <w:spacing w:before="0" w:beforeAutospacing="0" w:after="0" w:afterAutospacing="0"/>
              <w:ind w:left="0" w:leftChars="0" w:right="0" w:firstLine="0" w:firstLineChars="0"/>
              <w:jc w:val="lef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生产实施方案比较简单、基本合理，能按照项目的分解节点，完成本项目家具的生产的，没有专门的品质管控制度或专门品质管控人员，得</w:t>
            </w:r>
            <w:r>
              <w:rPr>
                <w:rFonts w:hint="default" w:ascii="宋体" w:hAnsi="宋体" w:eastAsia="宋体" w:cs="宋体"/>
                <w:color w:val="auto"/>
                <w:sz w:val="18"/>
                <w:szCs w:val="18"/>
                <w:highlight w:val="none"/>
                <w:lang w:val="en-US" w:eastAsia="zh-CN"/>
              </w:rPr>
              <w:t>1</w:t>
            </w:r>
            <w:r>
              <w:rPr>
                <w:rFonts w:hint="eastAsia" w:ascii="宋体" w:hAnsi="宋体" w:eastAsia="宋体" w:cs="宋体"/>
                <w:color w:val="auto"/>
                <w:sz w:val="18"/>
                <w:szCs w:val="18"/>
                <w:highlight w:val="none"/>
                <w:lang w:val="en-US" w:eastAsia="zh-CN"/>
              </w:rPr>
              <w:t xml:space="preserve">分； </w:t>
            </w:r>
          </w:p>
          <w:p>
            <w:pPr>
              <w:keepNext w:val="0"/>
              <w:keepLines w:val="0"/>
              <w:widowControl/>
              <w:numPr>
                <w:ilvl w:val="0"/>
                <w:numId w:val="0"/>
              </w:numPr>
              <w:suppressLineNumbers w:val="0"/>
              <w:spacing w:before="0" w:beforeAutospacing="0" w:after="0" w:afterAutospacing="0"/>
              <w:ind w:left="0" w:leftChars="0" w:right="0"/>
              <w:jc w:val="left"/>
              <w:rPr>
                <w:rFonts w:hint="eastAsia" w:ascii="宋体" w:hAnsi="宋体" w:eastAsia="宋体" w:cs="宋体"/>
                <w:color w:val="auto"/>
                <w:sz w:val="18"/>
                <w:szCs w:val="18"/>
                <w:highlight w:val="none"/>
              </w:rPr>
            </w:pPr>
            <w:r>
              <w:rPr>
                <w:rFonts w:hint="default"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lang w:val="en-US" w:eastAsia="zh-CN"/>
              </w:rPr>
              <w:t>、无方案说明的得</w:t>
            </w:r>
            <w:r>
              <w:rPr>
                <w:rFonts w:hint="default" w:ascii="宋体" w:hAnsi="宋体" w:eastAsia="宋体" w:cs="宋体"/>
                <w:color w:val="auto"/>
                <w:sz w:val="18"/>
                <w:szCs w:val="18"/>
                <w:highlight w:val="none"/>
                <w:lang w:val="en-US" w:eastAsia="zh-CN"/>
              </w:rPr>
              <w:t>0</w:t>
            </w:r>
            <w:r>
              <w:rPr>
                <w:rFonts w:hint="eastAsia" w:ascii="宋体" w:hAnsi="宋体" w:eastAsia="宋体" w:cs="宋体"/>
                <w:color w:val="auto"/>
                <w:sz w:val="18"/>
                <w:szCs w:val="18"/>
                <w:highlight w:val="none"/>
                <w:lang w:val="en-US" w:eastAsia="zh-CN"/>
              </w:rPr>
              <w:t xml:space="preserve">分。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jc w:val="left"/>
              <w:textAlignment w:val="auto"/>
              <w:rPr>
                <w:rFonts w:hint="eastAsia" w:ascii="宋体" w:hAnsi="宋体" w:eastAsia="宋体" w:cs="宋体"/>
                <w:color w:val="auto"/>
                <w:sz w:val="18"/>
                <w:szCs w:val="18"/>
                <w:highlight w:val="none"/>
              </w:rPr>
            </w:pP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866" w:hRule="atLeast"/>
        </w:trPr>
        <w:tc>
          <w:tcPr>
            <w:tcW w:w="6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auto"/>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2</w:t>
            </w:r>
          </w:p>
        </w:tc>
        <w:tc>
          <w:tcPr>
            <w:tcW w:w="780"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3</w:t>
            </w:r>
          </w:p>
        </w:tc>
        <w:tc>
          <w:tcPr>
            <w:tcW w:w="70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根据投标人的安装服务方案包含：</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1）安装服务实施方案计划详细、具体、明确，包含货物交付时间节点，落实送货的详细安装时间和人员安排，确保按期交付使用的得3分；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2）安装服务实施方案计划较为简单，包含货物交付时间节点，落实送货的详细安装时间和人员安排，确保按期交付使用的得2分；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3）安装实施方案计划有缺漏，仅体现货物交付及送货安装的时间表或仅体现人员安排的得1分。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4）无方案说明的或提交的方案不能根据货物交付时间节点确保按期交付使用的，得0分。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6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3</w:t>
            </w:r>
          </w:p>
        </w:tc>
        <w:tc>
          <w:tcPr>
            <w:tcW w:w="780"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default" w:ascii="宋体" w:hAnsi="宋体" w:eastAsia="宋体" w:cs="宋体"/>
                <w:color w:val="auto"/>
                <w:kern w:val="0"/>
                <w:sz w:val="18"/>
                <w:szCs w:val="18"/>
                <w:highlight w:val="none"/>
                <w:lang w:val="en-US" w:eastAsia="zh-CN" w:bidi="ar"/>
              </w:rPr>
            </w:pPr>
            <w:r>
              <w:rPr>
                <w:rFonts w:hint="default" w:ascii="宋体" w:hAnsi="宋体" w:eastAsia="宋体" w:cs="宋体"/>
                <w:color w:val="auto"/>
                <w:kern w:val="0"/>
                <w:sz w:val="18"/>
                <w:szCs w:val="18"/>
                <w:highlight w:val="none"/>
                <w:lang w:val="en-US" w:eastAsia="zh-CN" w:bidi="ar"/>
              </w:rPr>
              <w:t>2</w:t>
            </w:r>
          </w:p>
        </w:tc>
        <w:tc>
          <w:tcPr>
            <w:tcW w:w="70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根据投标人提供的书面承诺：承诺严格执行承担与项目有关的安全责任，服务过程中，服务人员的工伤风险，由中标人自行承担，因意外事故或安全问题引发的人身伤亡和财产损失，中标人依法承担赔偿责任，满足得</w:t>
            </w:r>
            <w:r>
              <w:rPr>
                <w:rFonts w:hint="eastAsia" w:ascii="宋体" w:hAnsi="宋体" w:eastAsia="宋体" w:cs="宋体"/>
                <w:color w:val="auto"/>
                <w:sz w:val="18"/>
                <w:szCs w:val="18"/>
                <w:highlight w:val="none"/>
                <w:lang w:val="en-US" w:eastAsia="zh-CN"/>
              </w:rPr>
              <w:t>2</w:t>
            </w:r>
            <w:r>
              <w:rPr>
                <w:rFonts w:hint="eastAsia" w:ascii="宋体" w:hAnsi="宋体" w:eastAsia="宋体" w:cs="宋体"/>
                <w:color w:val="auto"/>
                <w:sz w:val="18"/>
                <w:szCs w:val="18"/>
                <w:highlight w:val="none"/>
              </w:rPr>
              <w:t>分，需提供书面承诺函（格式自拟），未提供或不满足的不得分。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6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4</w:t>
            </w:r>
          </w:p>
        </w:tc>
        <w:tc>
          <w:tcPr>
            <w:tcW w:w="780"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3</w:t>
            </w:r>
          </w:p>
        </w:tc>
        <w:tc>
          <w:tcPr>
            <w:tcW w:w="70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根据各投标人提供质量保证措施方案进行评价：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 xml:space="preserve"> 针对本项目有提供质量保证措施方案详细、具体，明确对服务过程中的关键节点有具体质量控制措施，有相应的人力、物力投入安排，能够确保服务质量的得3分。方案较为简单，提供相应的人力、物力投入安排，基本能够确保服务质量的得1.5分，未提供措施或者措施与本项目无关的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005" w:hRule="atLeast"/>
        </w:trPr>
        <w:tc>
          <w:tcPr>
            <w:tcW w:w="6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5</w:t>
            </w:r>
          </w:p>
        </w:tc>
        <w:tc>
          <w:tcPr>
            <w:tcW w:w="780"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default" w:ascii="宋体" w:hAnsi="宋体" w:eastAsia="宋体" w:cs="宋体"/>
                <w:color w:val="auto"/>
                <w:kern w:val="0"/>
                <w:sz w:val="18"/>
                <w:szCs w:val="18"/>
                <w:highlight w:val="none"/>
                <w:lang w:val="en-US" w:eastAsia="zh-CN" w:bidi="ar"/>
              </w:rPr>
            </w:pPr>
            <w:r>
              <w:rPr>
                <w:rFonts w:hint="default" w:ascii="宋体" w:hAnsi="宋体" w:eastAsia="宋体" w:cs="宋体"/>
                <w:color w:val="auto"/>
                <w:kern w:val="0"/>
                <w:sz w:val="18"/>
                <w:szCs w:val="18"/>
                <w:highlight w:val="none"/>
                <w:lang w:val="en-US" w:eastAsia="zh-CN" w:bidi="ar"/>
              </w:rPr>
              <w:t>3</w:t>
            </w:r>
          </w:p>
        </w:tc>
        <w:tc>
          <w:tcPr>
            <w:tcW w:w="70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根据投标人的供货组织方案包含：方案具有针对性，提供具体、详细，明确的产品包装、出库、运输措施等的得3分；方案较为简单没有针对性，提供产品包装、出库、运输方案得1.5分，未提供方案或方案与本项目无关的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6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6</w:t>
            </w:r>
          </w:p>
        </w:tc>
        <w:tc>
          <w:tcPr>
            <w:tcW w:w="780"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3</w:t>
            </w:r>
          </w:p>
        </w:tc>
        <w:tc>
          <w:tcPr>
            <w:tcW w:w="70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rPr>
              <w:t>根据投标人提供的调研报告包含对本项目的现场条件、场地限制等了解程度、重难点及问题的解决方法等进行评分：调研报告详细、具体、明确对项目现状及需求有描述出项目实施的重点难点及解决办法得3分；调研报告较为简单有包含对项目现状及需求描述，或提出的重点难点及解决办法较为简单的得1.5分；调研报告存在较大缺漏、对项目现状及描述了解存在较大不足或未提供重点难点问题的解决办法或与本项目无关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6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7</w:t>
            </w:r>
          </w:p>
        </w:tc>
        <w:tc>
          <w:tcPr>
            <w:tcW w:w="780"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3</w:t>
            </w:r>
          </w:p>
        </w:tc>
        <w:tc>
          <w:tcPr>
            <w:tcW w:w="70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根据投标人提供的书面承诺：采购人在使用本项目的任何产品或任何一部分时，无需承担因第三方提出侵犯其专利权或其它知识产权而引起的法律和经济责任；因此产生的法律和经济责任由成交供应商承担；完全满足得3分，需提供书面承诺函（格式自拟），未提供或承诺内容不全的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225" w:hRule="atLeast"/>
        </w:trPr>
        <w:tc>
          <w:tcPr>
            <w:tcW w:w="6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8</w:t>
            </w:r>
          </w:p>
        </w:tc>
        <w:tc>
          <w:tcPr>
            <w:tcW w:w="780"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3</w:t>
            </w:r>
          </w:p>
        </w:tc>
        <w:tc>
          <w:tcPr>
            <w:tcW w:w="70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根据各投标人针对本项目所投产品生产工艺流程（包含流程示意图及生产过程照片等）进行综合评议并评分：流程内容完整、生产过程清晰的得3分；流程内容较完整、生产过程较清晰的得2分；流程内容完整不够完整的得1分；未提供的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59" w:hRule="atLeast"/>
        </w:trPr>
        <w:tc>
          <w:tcPr>
            <w:tcW w:w="6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9</w:t>
            </w:r>
          </w:p>
        </w:tc>
        <w:tc>
          <w:tcPr>
            <w:tcW w:w="780"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default" w:ascii="宋体" w:hAnsi="宋体" w:eastAsia="宋体" w:cs="宋体"/>
                <w:color w:val="auto"/>
                <w:kern w:val="0"/>
                <w:sz w:val="18"/>
                <w:szCs w:val="18"/>
                <w:highlight w:val="none"/>
                <w:lang w:val="en-US" w:eastAsia="zh-CN" w:bidi="ar"/>
              </w:rPr>
            </w:pPr>
            <w:r>
              <w:rPr>
                <w:rFonts w:hint="default" w:ascii="宋体" w:hAnsi="宋体" w:eastAsia="宋体" w:cs="宋体"/>
                <w:color w:val="auto"/>
                <w:kern w:val="0"/>
                <w:sz w:val="18"/>
                <w:szCs w:val="18"/>
                <w:highlight w:val="none"/>
                <w:lang w:val="en-US" w:eastAsia="zh-CN" w:bidi="ar"/>
              </w:rPr>
              <w:t>3</w:t>
            </w:r>
          </w:p>
        </w:tc>
        <w:tc>
          <w:tcPr>
            <w:tcW w:w="70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根据投标人提供第三方检测机构出具的“办公桌”抽样</w:t>
            </w:r>
            <w:r>
              <w:rPr>
                <w:rFonts w:hint="default" w:ascii="宋体" w:hAnsi="宋体" w:cs="宋体"/>
                <w:color w:val="auto"/>
                <w:sz w:val="18"/>
                <w:szCs w:val="18"/>
                <w:highlight w:val="none"/>
                <w:lang w:eastAsia="zh-CN"/>
              </w:rPr>
              <w:t>检测报告</w:t>
            </w:r>
            <w:r>
              <w:rPr>
                <w:rFonts w:hint="eastAsia" w:ascii="宋体" w:hAnsi="宋体" w:eastAsia="宋体" w:cs="宋体"/>
                <w:color w:val="auto"/>
                <w:sz w:val="18"/>
                <w:szCs w:val="18"/>
                <w:highlight w:val="none"/>
                <w:lang w:val="en-US" w:eastAsia="zh-CN"/>
              </w:rPr>
              <w:t>（检测内容需在同一份报告内体现），检测项目内容需包含：</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一、主要尺寸及偏差（依据：GB/T3325-2017《金属家具通用技术条件》标准要求，单项评价结果须为“合格”）</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产品外形尺寸偏差：产品外形宽、深、高尺寸的允许偏差；非折叠式为±5mm；折叠式为±6mm；配套或组合产品的极限偏差应同取正值或负值。</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二、外观性能要求（依据：GB/T3325-2017《金属家具通用技术条件》标准要求，单项评价结果须为“合格”）</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①、木制件需包括但不限于封边处理、表面装饰层检验；②、金属件需包括但不限于管材、焊接件、冲压件、喷涂层、电涂层检验；</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三、安全性能要求（依据：GB/T3325-2017《金属家具通用技术条件》标准要求，单项评价结果须为“合格”）</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①、结构安全：活动部件间距离≤5mm或≥25mm、抽屉键盘拉篮等推拉构件应有防脱落装置、人体接触或收藏物品的部位应无毛刺刃口棱角、固定部位的结合应牢固无松动无少件透钉漏钉（预留孔选择孔除外）；②、有害物质限量（产品涂层和覆面层中可溶性重金属）：可溶性铅≤90、可溶性镉≤75、可溶性铬≤60、可溶性汞≤60；③、有害物质限量（产品中人造板部件甲醛释放量）：≤0.124mg/m³。</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四、产品部件材质理化性能（依据：GB/T3325-2017《金属家具通用技术条件》标准要求，单项评价结果须为“合格”）</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人造板件：含水率（3-13）%、封边条表面胶合强度（应不小于0.40MPa）。</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五、力学性能（依据：GB/T3325-2017《金属家具通用技术条件》标准要求，单项评价结果须为“合格”）</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①、桌类强度和耐久性：需包括但不限于主桌面垂直静载荷试验、桌面持续垂直静载荷试验、水平静载荷试验、桌面垂直冲击试验、桌腿跌落试验及桌面水平耐久性试验（≥15000次），且技术要求均须满足：</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a)所有零部件无断裂或豁裂；b) 用手揿压某些应为牢固的部件，应无永久性松动；c)所有零部件应无影响使用功能的磨损或变形；d)五金连接件应无松动；e)活动部件(门、抽屉等) 开关应灵便；f) 零部件无明显位移变化。</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②、桌类稳定性：需包括但不限于垂直加载稳定性及垂直和水平加载稳定检测，且检测结果须为“无倾翻”。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③、柜类强度和耐久性：需包括但不限于拉门垂直加载试验、拉门水平加载试验、拉门猛关试验、拉门耐久性试验（≥40000次）、推拉构件强度试验、推拉构件猛关或猛开试验、推拉构件结构强度试验、推拉构件耐久性试验（≥40000次），且技术要求均须满足：a)所有部件、连接件应无断裂损坏；b)无严重影响使用功能的磨损或变形；c)用手揿压证实，紧固件应无松动；d)五金件连接应无松动；e)活动部件(门、抽屉等)开关应灵活。</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六、标志（依据：GB/T3325-2017《金属家具通用技术条件》标准要求，单项评价结果须为“合格”）</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产品标志至少应包括以下内容：a)产品名称、规格型号；b）主要用料名称，执行标准编号；c)检验合格证明、生产日期；d)生产者中文名称和地址。</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七、中性盐雾试验（NSS）（依据：QB/T3826-1999《轻工产品金属镀层和化学处理层的耐腐蚀试验方法 中性盐雾试验（NSS）法》标准要求）：连续喷雾≥450小时，镀(涂)层对基体的保护等级≥10级，镀(涂)层本身耐腐蚀等级≥10级。</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八、抗菌性能：抑菌率（依据：QB/T4371-2012《家具抗菌性能的评价》标准要求，单项评价结果须为“合格”）</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①、金黄色葡萄球菌：抑菌率≥99%；②、大肠埃希氏菌（大肠杆菌）：抑菌率≥99%。</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九、耐霉菌性：耐霉菌性等级（依据：GB/T1741-2020《漆膜耐霉菌性测定法》标准要求）</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①、长枝木霉：检测结果须为0级；②、土曲霉：检测结果须为0级。                                               注：须提供相关检测报告复印件并加盖投标人公章，检测报告必须附有二维码，二维码扫描结果与检测报告内容一致，同时提供检测报告在中国国家认证认可监督管理委员会（http://www.cnca.gov.cn/）或国家市场监督管理总局政务服务平台http://cx.cnca.cn/CertECloud/qts/qts/qtsPage?showMode=2）的查询网址，检测报告为带CMA或CNAS标识的检测机构出具的检测报告，检验报告中受检（或委托）单位应与</w:t>
            </w:r>
            <w:r>
              <w:rPr>
                <w:rFonts w:hint="eastAsia" w:ascii="宋体" w:hAnsi="宋体" w:cs="宋体"/>
                <w:color w:val="auto"/>
                <w:sz w:val="18"/>
                <w:szCs w:val="18"/>
                <w:highlight w:val="none"/>
                <w:lang w:val="en-US" w:eastAsia="zh-CN"/>
              </w:rPr>
              <w:t>投标人</w:t>
            </w:r>
            <w:r>
              <w:rPr>
                <w:rFonts w:hint="eastAsia" w:ascii="宋体" w:hAnsi="宋体" w:eastAsia="宋体" w:cs="宋体"/>
                <w:color w:val="auto"/>
                <w:sz w:val="18"/>
                <w:szCs w:val="18"/>
                <w:highlight w:val="none"/>
                <w:lang w:val="en-US" w:eastAsia="zh-CN"/>
              </w:rPr>
              <w:t>或生产厂家一致。完全满足得3分，其余不得分。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trPr>
        <w:tc>
          <w:tcPr>
            <w:tcW w:w="6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10</w:t>
            </w:r>
          </w:p>
        </w:tc>
        <w:tc>
          <w:tcPr>
            <w:tcW w:w="780"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3</w:t>
            </w:r>
          </w:p>
        </w:tc>
        <w:tc>
          <w:tcPr>
            <w:tcW w:w="70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根据投标人提供第三方检测机构出具的“办公椅”抽样检测报告（检测内容需在同一份报告内体现），检测项目内容需包含：</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一、主要尺寸（依据：QB/T2280-2016《办公家具 办公椅》标准要求，单项评价结果须为“合格”）</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实测值与设计尺寸的偏差：尺寸偏差为±5mm。</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二、形状和位置公差（依据：QB/T2280-2016《办公家具 办公椅》标准要求，单项评价结果须为“合格”）</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①、椅背偏心度：≤100mm；②、外形对称度：≤3mm；③、座面左右水平偏差：≤3mm；④、着地平稳性：≤2mm</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三、外观（依据：QB/T2280-2016《办公家具 办公椅》标准要求，单项评价结果须为“合格”）</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①、塑料件外观：a)应无裂纹，无明显变形；b)应无明显缩孔、气泡、杂质、伤痕；c)外表用塑料件表面应光洁，无划痕，无污渍，无明显色差。</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②、软、硬包件外观：a)构件及缝纫应无破损，无污迹、无脱线、无开缝或脱胶；b)构件及缝纫对称部位应对称。缝纫线迹均匀，无明显浮线、跳针。图案清晰，无跳丝、明显色差。c)软包件应外形饱满，圆滑一致，对称部位应对称。嵌线圆滑挺直。应包件应外形平滑，无皱折。d)一体发泡成型部件应结合牢固、平服，不有脱落、起皱、松弛等缺陷。自结皮部件外观应平整，光滑无凹坑，厚度均匀，质感致密，分模缝隙不影响外观。</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③、金属件外观：a)金属件应进行防锈处理，不应有锈迹；b)金属件应无端部未封口的管件。管材和冲压件：不应有裂缝、脱层。无叠缝、错位、结疤。弯管外弧形圆滑一致，波纹高低不大于0.4mm，冲压件平整。c)金属件应无裂痕、结疤。d)焊接处应无脱焊、虚焊、焊穿。e)焊接件应无夹渣、气孔、焊瘤、咬边、飞溅。</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④、涂层和镀层：a)金属件涂层应无漏底、凹凸、明显流挂、疙瘩、皱皮、飞漆、无剥落、返锈、漏漆现象。b)金属件镀层应无烧焦、起泡、针孔、裂纹、毛刺、花斑（不包括镀彩锌）和划痕。</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⑤、其他外观要求：a)产品的零部件应无破损现象。b)固定部件的结合应牢固无松动，无少件、漏钉、透钉。c)产品的所有外角和接触人体的部位应进行磨钝处理，应无毛刺、刃口或棱角。d)产品的所有外表部位不应有掉（脱）色现象。e)装配性：应拆装方便，零部件齐全。装配后连接可靠，不易松脱。插接件应有防脱落处理。f)升降机构和角度调节机构：升降轻便灵活，螺旋机构的升降配合良好，气动升降应平稳，无漏气，无噪声。角度调节结构灵活、可靠、调节自如，并具有锁定装置。g)脚轮：转动、平动应轻快灵活，无破损，连接牢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四、理化性能（依据：QB/T3832-1999《轻工产品金属镀层腐蚀试验结果的评价》标准要求，单项评价结果须为“合格”）</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①、软质聚氨酯泡沫塑料：a)密度：座面≥30kg/m³。b)回弹性：≥40%。c)75%压缩永久变形：≤10%。</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②、金属件涂层：a)耐盐雾：24h，直径1.5mm以下锈点不多于20点/d㎡，其中直径不小于1.0mm的锈点不超过5点（距离边缘棱角2mm以内的不计）。b)附着力：0至1级。</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③、电镀层：耐盐雾（18h，直径1.5以下锈点不多于20点/d㎡，其中直径≥1.0mm的锈点不超过5点（距离边缘棱角2mm以内的不计）)</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五、甲醛释放量（依据：QB/T2280-2016《办公家具 办公椅》标准要求，单项评价结果须为“合格”）：≤0.12mg/㎡h。</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六、乙酸盐雾试验（ASS）（依据：QB/T3827-1999《轻工产品金属镀层和化学处理层的耐腐蚀试验方法 乙酸盐雾试验（ASS）法》标准要求）：连续喷雾≥450小时，镀(涂)层对基体的保护等级≥10级，镀(涂)层本身耐腐蚀等级≥10级。</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七、抗菌性能 （依据：GB/T 20944.1-2007《纺织品 抗菌性能的评价 第1部分：琼脂平皿扩散法》标准要求）</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①肺炎克雷伯氏菌：检测结果须为0-1mm；</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八、防霉性能（依据：GB/T24346-2009《纺织品 防霉性能的评价》标准要求）</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①黄曲霉：检测结果须为0级。                                                                 注：须提供相关检测报告复印件并加盖投标人公章，检测报告必须附有二维码，二维码扫描结果与检测报告内容一致，同时提供检测报告在中国国家认证认可监督管理委员会（http://www.cnca.gov.cn/）或国家市场监督管理总局政务服务平台http://cx.cnca.cn/CertECloud/qts/qts/qtsPage?showMode=2）的查询网址，检测报告为带CMA或CNAS标识的检测机构出具的检测报告，检验报告中受检（或委托）单位应与</w:t>
            </w:r>
            <w:r>
              <w:rPr>
                <w:rFonts w:hint="eastAsia" w:ascii="宋体" w:hAnsi="宋体" w:cs="宋体"/>
                <w:color w:val="auto"/>
                <w:sz w:val="18"/>
                <w:szCs w:val="18"/>
                <w:highlight w:val="none"/>
                <w:lang w:val="en-US" w:eastAsia="zh-CN"/>
              </w:rPr>
              <w:t>投标人</w:t>
            </w:r>
            <w:r>
              <w:rPr>
                <w:rFonts w:hint="eastAsia" w:ascii="宋体" w:hAnsi="宋体" w:eastAsia="宋体" w:cs="宋体"/>
                <w:color w:val="auto"/>
                <w:sz w:val="18"/>
                <w:szCs w:val="18"/>
                <w:highlight w:val="none"/>
                <w:lang w:val="en-US" w:eastAsia="zh-CN"/>
              </w:rPr>
              <w:t>或生产厂家一致。完全满足得3分，其余不得分。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6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11</w:t>
            </w:r>
          </w:p>
        </w:tc>
        <w:tc>
          <w:tcPr>
            <w:tcW w:w="780"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3</w:t>
            </w:r>
          </w:p>
        </w:tc>
        <w:tc>
          <w:tcPr>
            <w:tcW w:w="70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根据投标人提供第三方检测机构出具的“定制会议桌”抽样检测报告（检测内容需在同一份报告内体现），检测项目内容至少包含：</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一、形状和位置公差（依据：GB/T3325-2017《金属家具通用技术条件》标准要求，单项评价结果须为“合格”）</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①、邻边垂直度：面板、框架对角线长度≥1000mm，折叠式≤6mm，非折叠式≤3mm；面板、框架对边长度≥1000mm，折叠式≤6mm，非折叠式≤3mm。</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②、翘曲度：面板、正视面板件对角线长度≥1400，≤3.0mm。</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③、平整度：面板、正视面板件≤0.20mm。</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④、着地平稳性：底脚与水平面的差值≤2.0mm。</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二、理化性能要求（依据：QB/T3832-1999《轻工产品金属镀层腐蚀试验结果的评价》标准要求，单项评价结果须为“合格”）</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①金属喷漆（塑）涂层：a)硬度≥H；b)冲击强度：冲击高度400mm，应无剥落、裂纹、皱纹；c)耐腐蚀：无鼓泡产生、无锈迹、剥落、起皱、变色和失光等现象；d)附着力：0至2级。</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②金属电镀层：抗盐雾18h，直径1.5mm以下锈点≤20点/d㎡，其中直径≥1.0mm锈点不超过5点（距边缘棱角2mm以内的不计）。</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③木制件表面贴面层：a)耐冷热循环：无裂缝、开裂、起皱、鼓泡现象；b)耐干热：3至5级；c)耐湿热：3至5级；d)耐划痕：加载≥1.5N。表面无大于90%的连续划痕或表面装饰花纹无破坏现象；e)耐污染性能：3至5级；f)表面耐磨性：素色：磨350r后应无露底现象；g)抗冲击：冲击高度50mm，0至3级；h)耐光色牢度（灰色样卡）：≥4级。</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三、安全性能要求（依据：GB/T3325-2017《金属家具通用技术条件》标准要求，单项评价结果须为“合格”）</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①结构安全：a)人体接触或收藏物品的部位应无毛刺、刃口、棱角；b)固定部位的结合应牢固无松动、无少件、透钉、漏钉（预留孔、选择孔除外）。</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②有害物质限量：产品中人造板部件甲醛释放量：≤0.1mg/m³。</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③有害物质限量（产品涂层和覆面层中可溶性重金属）：可溶性铅≤90mg/kg；可溶性镉≤75mg/kg；可溶性铬≤60mg/kg；可溶性汞≤60mg/kg。</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四、中性盐雾试验（NSS）（依据：QB/T3826-1999《轻工产品金属镀层和化学处理层的耐腐蚀试验方法 中性盐雾试验（NSS）法》标准要求）：连续喷雾≥450小时，镀(涂)层对基体的保护等级≥10级，镀(涂)层本身耐腐蚀等级≥10级。</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五、抗菌性能：抑菌率（依据：QB/T4371-2012《家具抗菌性能的评价》标准要求，单项评价结果须为“合格”）</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白色葡萄球菌：≥99%。</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六、耐霉菌性（耐霉菌性等级）（依据：GB/T1741-2020《漆膜耐霉菌性测定法》标准要求）</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 xml:space="preserve">赭曲霉：检测结果须为0级。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注：须提供相关检测报告复印件并加盖投标人公章，检测报告必须附有二维码，二维码扫描结果与检测报告内容一致，同时提供检测报告在中国国家认证认可监督管理委员会（http://www.cnca.gov.cn/）或国家市场监督管理总局政务服务平台http://cx.cnca.cn/CertECloud/qts/qts/qtsPage?showMode=2）的查询网址，检测报告为带CMA或CNAS标识的检测机构出具的检测报告，</w:t>
            </w:r>
            <w:r>
              <w:rPr>
                <w:rFonts w:hint="eastAsia" w:ascii="宋体" w:hAnsi="宋体" w:eastAsia="宋体" w:cs="宋体"/>
                <w:color w:val="auto"/>
                <w:sz w:val="18"/>
                <w:szCs w:val="18"/>
                <w:highlight w:val="none"/>
                <w:lang w:val="en-US" w:eastAsia="zh-CN"/>
              </w:rPr>
              <w:t>检验报告中受检（或委托）单位应与</w:t>
            </w:r>
            <w:r>
              <w:rPr>
                <w:rFonts w:hint="eastAsia" w:ascii="宋体" w:hAnsi="宋体" w:cs="宋体"/>
                <w:color w:val="auto"/>
                <w:sz w:val="18"/>
                <w:szCs w:val="18"/>
                <w:highlight w:val="none"/>
                <w:lang w:val="en-US" w:eastAsia="zh-CN"/>
              </w:rPr>
              <w:t>投标人</w:t>
            </w:r>
            <w:r>
              <w:rPr>
                <w:rFonts w:hint="eastAsia" w:ascii="宋体" w:hAnsi="宋体" w:eastAsia="宋体" w:cs="宋体"/>
                <w:color w:val="auto"/>
                <w:sz w:val="18"/>
                <w:szCs w:val="18"/>
                <w:highlight w:val="none"/>
                <w:lang w:val="en-US" w:eastAsia="zh-CN"/>
              </w:rPr>
              <w:t>或生产厂家一致。</w:t>
            </w:r>
            <w:r>
              <w:rPr>
                <w:rFonts w:hint="eastAsia" w:ascii="宋体" w:hAnsi="宋体" w:eastAsia="宋体" w:cs="宋体"/>
                <w:color w:val="auto"/>
                <w:kern w:val="0"/>
                <w:sz w:val="18"/>
                <w:szCs w:val="18"/>
                <w:highlight w:val="none"/>
                <w:lang w:val="en-US" w:eastAsia="zh-CN" w:bidi="ar"/>
              </w:rPr>
              <w:t>完全满足得3分，其余不得分。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076" w:hRule="atLeast"/>
        </w:trPr>
        <w:tc>
          <w:tcPr>
            <w:tcW w:w="6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12</w:t>
            </w:r>
          </w:p>
        </w:tc>
        <w:tc>
          <w:tcPr>
            <w:tcW w:w="780"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3</w:t>
            </w:r>
          </w:p>
        </w:tc>
        <w:tc>
          <w:tcPr>
            <w:tcW w:w="70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根据投标人提供第三方检测机构出具的“定制储物柜”抽样检测报告（检测内容需在同一份报告内体现），检测项目内容至少包含：</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一、主要尺寸及偏差（依据：GB/T3324-2017《木家具通用技术条件》标准要求，单项评价结果须为“合格”）</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产品外形尺寸偏差：产品外形宽、深、高尺寸的极限偏差；±5mm。</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二、形状和位置公差（依据：GB/T3324-2017《木家具通用技术条件》标准要求，单项评价结果须为“合格”）</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①、翘曲度：面板、正视面板件对角线长度≥1400mm，≤3mm。</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②、平整度：面板、正视面板件≤0.20mm。</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③、邻边垂直度：面板、框架对角线长度≥1000mm，长度差≤3mm；面板、框架对边长度≥1000mm，对边长度差≤3mm。</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④、位差度：门与框架、门与门相邻表面、抽屉与框架、抽屉与门、抽屉与抽屉相邻两表面间的距离偏差（非设计要求的距离）≤2.0。</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⑤、分缝：所有分缝（非设计要求时）≤2.0。</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三、材料要求（依据：GB/T3324-2017《木家具通用技术条件》标准要求，单项评价结果须为“合格”）</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①标识与实物一致性：产品标识、质量明示卡、使用说明以及销售合同中的明示与产品中使用的木材、人造板及其使用部位应保持一致。</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②人造板含水率：3%～13%。</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产品使用说明的编写内容至少应包括：a)产品名称、规格型号、执行标准编号和等级；b)产品用材名称及其使用部位；c)有害物质限量值；d)产品安装和调整方法；e)产品使用方法、注意事项；f)产品故障分析和排除、维护保养方法。</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四、乙酸盐雾试验（ASS）（依据：QB/T3827-1999《轻工产品金属镀层和化学处理层的耐腐蚀试验方法 乙酸盐雾试验（ASS）法》标准要求）：连续喷雾≥450小时，镀(涂)层对基体的保护等级≥10级，镀(涂)层本身耐腐蚀等级≥10级。</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五、抗菌性能：抑菌率（依据：QB/T4371-2012《家具抗菌性能的评价》标准要求，单项评价结果须为“合格”）</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枯草芽孢杆菌：≥99%；</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六、耐霉菌性（耐霉菌性等级）（依据：GB/T1741-2020《漆膜耐霉菌性测定法》标准要求）</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产黄青霉：检测结果须为0级；</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七、有害物质限量（依据：GB18584-2001《室内装饰装修材料木家具中有害物质限量》标准要求，单项评价结果须为“合格”）</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甲醛释放量（9-11L干燥器法）:≤0.5mg/L                                                                           注：须提供相关检测报告复印件并加盖投标人公章，检测报告必须附有二维码，二维码扫描结果与检测报告内容一致，同时提供检测报告在中国国家认证认可监督管理委员会（http://www.cnca.gov.cn/）或国家市场监督管理总局政务服务平台http://cx.cnca.cn/CertECloud/qts/qts/qtsPage?showMode=2）的查询网址，检测报告为带CMA或CNAS标识的检测机构出具的检测报告，</w:t>
            </w:r>
            <w:r>
              <w:rPr>
                <w:rFonts w:hint="eastAsia" w:ascii="宋体" w:hAnsi="宋体" w:eastAsia="宋体" w:cs="宋体"/>
                <w:color w:val="auto"/>
                <w:sz w:val="18"/>
                <w:szCs w:val="18"/>
                <w:highlight w:val="none"/>
                <w:lang w:val="en-US" w:eastAsia="zh-CN"/>
              </w:rPr>
              <w:t>检验报告中受检（或委托）单位应与</w:t>
            </w:r>
            <w:r>
              <w:rPr>
                <w:rFonts w:hint="eastAsia" w:ascii="宋体" w:hAnsi="宋体" w:cs="宋体"/>
                <w:color w:val="auto"/>
                <w:sz w:val="18"/>
                <w:szCs w:val="18"/>
                <w:highlight w:val="none"/>
                <w:lang w:val="en-US" w:eastAsia="zh-CN"/>
              </w:rPr>
              <w:t>投标人</w:t>
            </w:r>
            <w:r>
              <w:rPr>
                <w:rFonts w:hint="eastAsia" w:ascii="宋体" w:hAnsi="宋体" w:eastAsia="宋体" w:cs="宋体"/>
                <w:color w:val="auto"/>
                <w:sz w:val="18"/>
                <w:szCs w:val="18"/>
                <w:highlight w:val="none"/>
                <w:lang w:val="en-US" w:eastAsia="zh-CN"/>
              </w:rPr>
              <w:t>或生产厂家一致。</w:t>
            </w:r>
            <w:r>
              <w:rPr>
                <w:rFonts w:hint="eastAsia" w:ascii="宋体" w:hAnsi="宋体" w:eastAsia="宋体" w:cs="宋体"/>
                <w:color w:val="auto"/>
                <w:kern w:val="0"/>
                <w:sz w:val="18"/>
                <w:szCs w:val="18"/>
                <w:highlight w:val="none"/>
                <w:lang w:val="en-US" w:eastAsia="zh-CN" w:bidi="ar"/>
              </w:rPr>
              <w:t>完全满足得3分，其余不得分。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6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13</w:t>
            </w:r>
          </w:p>
        </w:tc>
        <w:tc>
          <w:tcPr>
            <w:tcW w:w="780"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3</w:t>
            </w:r>
          </w:p>
        </w:tc>
        <w:tc>
          <w:tcPr>
            <w:tcW w:w="70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根据投标人提供第三方检测机构出具的“涂层钢架”抽样检测报告（检测内容需在同一份报告内体现），检测项目内容需包含：</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一、理化性能要求（金属喷漆（塑）涂层：（依据：GB/T3325-2017《金属家具通用技术条件》标准要求，单项评价结果须为“合格”）</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①硬度：≥H；②冲击强度：冲击高度</w:t>
            </w:r>
            <w:r>
              <w:rPr>
                <w:rFonts w:hint="eastAsia" w:ascii="宋体" w:hAnsi="宋体" w:eastAsia="宋体" w:cs="宋体"/>
                <w:color w:val="auto"/>
                <w:kern w:val="0"/>
                <w:sz w:val="18"/>
                <w:szCs w:val="18"/>
                <w:highlight w:val="none"/>
                <w:lang w:val="en-US" w:eastAsia="zh-CN" w:bidi="ar"/>
              </w:rPr>
              <w:t>≥</w:t>
            </w:r>
            <w:r>
              <w:rPr>
                <w:rFonts w:hint="eastAsia" w:ascii="宋体" w:hAnsi="宋体" w:eastAsia="宋体" w:cs="宋体"/>
                <w:color w:val="auto"/>
                <w:sz w:val="18"/>
                <w:szCs w:val="18"/>
                <w:highlight w:val="none"/>
                <w:lang w:val="en-US" w:eastAsia="zh-CN"/>
              </w:rPr>
              <w:t>400mm，应无剥落、裂纹、皱纹；③附着力：0至2级；</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二、中性盐雾：（依据：QB/T3826-1999《轻工产品金属镀层和化学处理层的耐腐蚀试验方法 中性盐雾试验（NSS）法》标准要求）检测结果≥450小时中性盐雾试验（涂层本身的耐腐蚀等级≥10级，涂层对基体的保护等级≥10级）；</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三、品质属性：（依据：GB/T35607-2017《绿色产品评价 家具》标准要求，单项评价结果须为“合格”）产品有害物质（家具涂层可迁元素）镉、铅、铬、汞、锑、钡、硒、砷八种可迁移金属元素；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sz w:val="18"/>
                <w:szCs w:val="18"/>
                <w:highlight w:val="none"/>
                <w:lang w:val="en-US" w:eastAsia="zh-CN"/>
              </w:rPr>
              <w:t>四、抗霉菌性能：（依据：HG/T3950-2007《抗菌涂料》标准要求）检测结果为0级；                                               注：须提供相关检测报告复印件并加盖投标人公章，检测报告必须附有二维码，二维码扫描结果与检测报告内容一致，同时提供检测报告在中国国家认证认可监督管理委员会（http://www.cnca.gov.cn/）或国家市场监督管理总局政务服务平台http://cx.cnca.cn/CertECloud/qts/qts/qtsPage?showMode=2）的查询网址，检测报告为带CMA或CNAS标识的检测机构出具的检测报告，检验报告中受检（或委托）单位应与</w:t>
            </w:r>
            <w:r>
              <w:rPr>
                <w:rFonts w:hint="eastAsia" w:ascii="宋体" w:hAnsi="宋体" w:cs="宋体"/>
                <w:color w:val="auto"/>
                <w:sz w:val="18"/>
                <w:szCs w:val="18"/>
                <w:highlight w:val="none"/>
                <w:lang w:val="en-US" w:eastAsia="zh-CN"/>
              </w:rPr>
              <w:t>投标人</w:t>
            </w:r>
            <w:r>
              <w:rPr>
                <w:rFonts w:hint="eastAsia" w:ascii="宋体" w:hAnsi="宋体" w:eastAsia="宋体" w:cs="宋体"/>
                <w:color w:val="auto"/>
                <w:sz w:val="18"/>
                <w:szCs w:val="18"/>
                <w:highlight w:val="none"/>
                <w:lang w:val="en-US" w:eastAsia="zh-CN"/>
              </w:rPr>
              <w:t>或生产厂家一致。完全满足得3分，其余不得分</w:t>
            </w:r>
            <w:r>
              <w:rPr>
                <w:rFonts w:hint="eastAsia" w:ascii="宋体" w:hAnsi="宋体" w:cs="宋体"/>
                <w:color w:val="auto"/>
                <w:sz w:val="18"/>
                <w:szCs w:val="18"/>
                <w:highlight w:val="none"/>
                <w:lang w:val="en-US" w:eastAsia="zh-CN"/>
              </w:rPr>
              <w:t>。</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6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14</w:t>
            </w:r>
          </w:p>
        </w:tc>
        <w:tc>
          <w:tcPr>
            <w:tcW w:w="780"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3</w:t>
            </w:r>
          </w:p>
        </w:tc>
        <w:tc>
          <w:tcPr>
            <w:tcW w:w="70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cs="宋体"/>
                <w:color w:val="auto"/>
                <w:sz w:val="18"/>
                <w:szCs w:val="18"/>
                <w:highlight w:val="none"/>
              </w:rPr>
            </w:pPr>
            <w:r>
              <w:rPr>
                <w:rFonts w:hint="eastAsia" w:ascii="宋体" w:hAnsi="宋体" w:cs="宋体"/>
                <w:color w:val="auto"/>
                <w:sz w:val="18"/>
                <w:szCs w:val="18"/>
                <w:highlight w:val="none"/>
              </w:rPr>
              <w:t>根据投标人提供第三方检测机构出具的“</w:t>
            </w:r>
            <w:r>
              <w:rPr>
                <w:rFonts w:hint="eastAsia" w:ascii="宋体" w:hAnsi="宋体" w:cs="宋体"/>
                <w:color w:val="auto"/>
                <w:sz w:val="18"/>
                <w:szCs w:val="18"/>
                <w:highlight w:val="none"/>
                <w:lang w:val="en-US" w:eastAsia="zh-CN"/>
              </w:rPr>
              <w:t>浸渍胶膜纸饰面胶合板（三聚氰胺饰面多层板）</w:t>
            </w:r>
            <w:r>
              <w:rPr>
                <w:rFonts w:hint="eastAsia" w:ascii="宋体" w:hAnsi="宋体" w:cs="宋体"/>
                <w:color w:val="auto"/>
                <w:sz w:val="18"/>
                <w:szCs w:val="18"/>
                <w:highlight w:val="none"/>
              </w:rPr>
              <w:t>”</w:t>
            </w:r>
            <w:r>
              <w:rPr>
                <w:rFonts w:hint="eastAsia" w:ascii="宋体" w:hAnsi="宋体" w:cs="宋体"/>
                <w:color w:val="auto"/>
                <w:sz w:val="18"/>
                <w:szCs w:val="18"/>
                <w:highlight w:val="none"/>
                <w:lang w:val="en-US" w:eastAsia="zh-CN"/>
              </w:rPr>
              <w:t>抽样</w:t>
            </w:r>
            <w:r>
              <w:rPr>
                <w:rFonts w:hint="eastAsia" w:ascii="宋体" w:hAnsi="宋体" w:cs="宋体"/>
                <w:color w:val="auto"/>
                <w:sz w:val="18"/>
                <w:szCs w:val="18"/>
                <w:highlight w:val="none"/>
              </w:rPr>
              <w:t xml:space="preserve">检测报告（检测内容需在同一份报告内体现），检测项目内容至少包含：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rPr>
            </w:pPr>
            <w:r>
              <w:rPr>
                <w:rFonts w:hint="eastAsia" w:ascii="宋体" w:hAnsi="宋体" w:cs="宋体"/>
                <w:color w:val="auto"/>
                <w:sz w:val="18"/>
                <w:szCs w:val="18"/>
                <w:highlight w:val="none"/>
              </w:rPr>
              <w:t xml:space="preserve"> </w:t>
            </w:r>
            <w:r>
              <w:rPr>
                <w:rFonts w:hint="eastAsia" w:ascii="宋体" w:hAnsi="宋体" w:eastAsia="宋体" w:cs="宋体"/>
                <w:color w:val="auto"/>
                <w:sz w:val="18"/>
                <w:szCs w:val="18"/>
                <w:highlight w:val="none"/>
              </w:rPr>
              <w:t>一、依据：GB/T 34722-2017《浸渍胶膜纸饰面胶合板和细木工板》检测项目需包含：①含水率</w:t>
            </w: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%至</w:t>
            </w:r>
            <w:r>
              <w:rPr>
                <w:rFonts w:hint="eastAsia" w:ascii="宋体" w:hAnsi="宋体" w:eastAsia="宋体" w:cs="宋体"/>
                <w:color w:val="auto"/>
                <w:sz w:val="18"/>
                <w:szCs w:val="18"/>
                <w:highlight w:val="none"/>
                <w:lang w:val="en-US" w:eastAsia="zh-CN"/>
              </w:rPr>
              <w:t>16</w:t>
            </w:r>
            <w:r>
              <w:rPr>
                <w:rFonts w:hint="eastAsia" w:ascii="宋体" w:hAnsi="宋体" w:eastAsia="宋体" w:cs="宋体"/>
                <w:color w:val="auto"/>
                <w:sz w:val="18"/>
                <w:szCs w:val="18"/>
                <w:highlight w:val="none"/>
              </w:rPr>
              <w:t>%；②表面胶合强度：检测结果大于或等于</w:t>
            </w:r>
            <w:r>
              <w:rPr>
                <w:rFonts w:hint="eastAsia" w:ascii="宋体" w:hAnsi="宋体" w:eastAsia="宋体" w:cs="宋体"/>
                <w:color w:val="auto"/>
                <w:sz w:val="18"/>
                <w:szCs w:val="18"/>
                <w:highlight w:val="none"/>
                <w:lang w:val="en-US" w:eastAsia="zh-CN"/>
              </w:rPr>
              <w:t>0.60</w:t>
            </w:r>
            <w:r>
              <w:rPr>
                <w:rFonts w:hint="eastAsia" w:ascii="宋体" w:hAnsi="宋体" w:eastAsia="宋体" w:cs="宋体"/>
                <w:color w:val="auto"/>
                <w:sz w:val="18"/>
                <w:szCs w:val="18"/>
                <w:highlight w:val="none"/>
              </w:rPr>
              <w:t xml:space="preserve">MPa；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sz w:val="18"/>
                <w:szCs w:val="18"/>
                <w:highlight w:val="none"/>
              </w:rPr>
              <w:t xml:space="preserve"> 二、依据：GB 18580-2017《室内装饰装修材料 人造板及其制品中甲醛释放限量》检测项目需包含：①甲醛释放量：：检验结果小于或等于0.</w:t>
            </w:r>
            <w:r>
              <w:rPr>
                <w:rFonts w:hint="eastAsia" w:ascii="宋体" w:hAnsi="宋体" w:eastAsia="宋体" w:cs="宋体"/>
                <w:color w:val="auto"/>
                <w:sz w:val="18"/>
                <w:szCs w:val="18"/>
                <w:highlight w:val="none"/>
                <w:lang w:val="en-US" w:eastAsia="zh-CN"/>
              </w:rPr>
              <w:t>12</w:t>
            </w:r>
            <w:r>
              <w:rPr>
                <w:rFonts w:hint="eastAsia" w:ascii="宋体" w:hAnsi="宋体" w:eastAsia="宋体" w:cs="宋体"/>
                <w:color w:val="auto"/>
                <w:sz w:val="18"/>
                <w:szCs w:val="18"/>
                <w:highlight w:val="none"/>
              </w:rPr>
              <w:t>4mg/m³；②总挥发性有机化合物（TVOC）：检验结果小于或等于0.</w:t>
            </w:r>
            <w:r>
              <w:rPr>
                <w:rFonts w:hint="eastAsia" w:ascii="宋体" w:hAnsi="宋体" w:eastAsia="宋体" w:cs="宋体"/>
                <w:color w:val="auto"/>
                <w:sz w:val="18"/>
                <w:szCs w:val="18"/>
                <w:highlight w:val="none"/>
                <w:lang w:val="en-US" w:eastAsia="zh-CN"/>
              </w:rPr>
              <w:t>50</w:t>
            </w:r>
            <w:r>
              <w:rPr>
                <w:rFonts w:hint="eastAsia" w:ascii="宋体" w:hAnsi="宋体" w:eastAsia="宋体" w:cs="宋体"/>
                <w:color w:val="auto"/>
                <w:sz w:val="18"/>
                <w:szCs w:val="18"/>
                <w:highlight w:val="none"/>
              </w:rPr>
              <w:t xml:space="preserve">mg/㎡·h。     </w:t>
            </w:r>
            <w:r>
              <w:rPr>
                <w:rFonts w:hint="eastAsia" w:ascii="宋体" w:hAnsi="宋体" w:cs="宋体"/>
                <w:color w:val="auto"/>
                <w:sz w:val="18"/>
                <w:szCs w:val="18"/>
                <w:highlight w:val="none"/>
              </w:rPr>
              <w:t xml:space="preserve">                                               </w:t>
            </w:r>
            <w:r>
              <w:rPr>
                <w:rFonts w:hint="eastAsia" w:ascii="宋体" w:hAnsi="宋体" w:cs="宋体"/>
                <w:color w:val="auto"/>
                <w:sz w:val="18"/>
                <w:szCs w:val="18"/>
                <w:highlight w:val="none"/>
                <w:lang w:val="en-US" w:eastAsia="zh-CN"/>
              </w:rPr>
              <w:t xml:space="preserve">                              </w:t>
            </w:r>
            <w:r>
              <w:rPr>
                <w:rFonts w:hint="eastAsia" w:ascii="宋体" w:hAnsi="宋体" w:cs="宋体"/>
                <w:color w:val="auto"/>
                <w:sz w:val="18"/>
                <w:szCs w:val="18"/>
                <w:highlight w:val="none"/>
              </w:rPr>
              <w:t xml:space="preserve"> </w:t>
            </w:r>
            <w:r>
              <w:rPr>
                <w:rFonts w:hint="eastAsia" w:ascii="宋体" w:hAnsi="宋体" w:eastAsia="宋体" w:cs="宋体"/>
                <w:color w:val="auto"/>
                <w:kern w:val="0"/>
                <w:sz w:val="18"/>
                <w:szCs w:val="18"/>
                <w:highlight w:val="none"/>
                <w:lang w:val="en-US" w:eastAsia="zh-CN" w:bidi="ar"/>
              </w:rPr>
              <w:t>注：须提供相关检测报告复印件并加盖投标人公章，检测报告必须附有二维码，二维码扫描结果与检测报告内容一致，同时提供检测报告在中国国家认证认可监督管理委员会（http://www.cnca.gov.cn/）或国家市场监督管理总局政务服务平台http://cx.cnca.cn/CertECloud/qts/qts/qtsPage?showMode=2）的查询网址，检测报告为带CMA或CNAS标识的检测机构出具的检测报告，</w:t>
            </w:r>
            <w:r>
              <w:rPr>
                <w:rFonts w:hint="eastAsia" w:ascii="宋体" w:hAnsi="宋体" w:eastAsia="宋体" w:cs="宋体"/>
                <w:color w:val="auto"/>
                <w:sz w:val="18"/>
                <w:szCs w:val="18"/>
                <w:highlight w:val="none"/>
                <w:lang w:val="en-US" w:eastAsia="zh-CN"/>
              </w:rPr>
              <w:t>检验报告中受检（或委托）单位应与</w:t>
            </w:r>
            <w:r>
              <w:rPr>
                <w:rFonts w:hint="eastAsia" w:ascii="宋体" w:hAnsi="宋体" w:cs="宋体"/>
                <w:color w:val="auto"/>
                <w:sz w:val="18"/>
                <w:szCs w:val="18"/>
                <w:highlight w:val="none"/>
                <w:lang w:val="en-US" w:eastAsia="zh-CN"/>
              </w:rPr>
              <w:t>投标人</w:t>
            </w:r>
            <w:r>
              <w:rPr>
                <w:rFonts w:hint="eastAsia" w:ascii="宋体" w:hAnsi="宋体" w:eastAsia="宋体" w:cs="宋体"/>
                <w:color w:val="auto"/>
                <w:sz w:val="18"/>
                <w:szCs w:val="18"/>
                <w:highlight w:val="none"/>
                <w:lang w:val="en-US" w:eastAsia="zh-CN"/>
              </w:rPr>
              <w:t>或生产厂家一致。</w:t>
            </w:r>
            <w:r>
              <w:rPr>
                <w:rFonts w:hint="eastAsia" w:ascii="宋体" w:hAnsi="宋体" w:eastAsia="宋体" w:cs="宋体"/>
                <w:color w:val="auto"/>
                <w:kern w:val="0"/>
                <w:sz w:val="18"/>
                <w:szCs w:val="18"/>
                <w:highlight w:val="none"/>
                <w:lang w:val="en-US" w:eastAsia="zh-CN" w:bidi="ar"/>
              </w:rPr>
              <w:t>完全满足得3分，其余不得分。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6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15</w:t>
            </w:r>
          </w:p>
        </w:tc>
        <w:tc>
          <w:tcPr>
            <w:tcW w:w="780"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3</w:t>
            </w:r>
          </w:p>
        </w:tc>
        <w:tc>
          <w:tcPr>
            <w:tcW w:w="70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rPr>
            </w:pPr>
            <w:r>
              <w:rPr>
                <w:rFonts w:hint="eastAsia" w:ascii="宋体" w:hAnsi="宋体" w:cs="宋体"/>
                <w:color w:val="auto"/>
                <w:sz w:val="18"/>
                <w:szCs w:val="18"/>
                <w:highlight w:val="none"/>
              </w:rPr>
              <w:t>根据投标人提供第三方检测机</w:t>
            </w:r>
            <w:r>
              <w:rPr>
                <w:rFonts w:hint="eastAsia" w:ascii="宋体" w:hAnsi="宋体" w:eastAsia="宋体" w:cs="宋体"/>
                <w:color w:val="auto"/>
                <w:sz w:val="18"/>
                <w:szCs w:val="18"/>
                <w:highlight w:val="none"/>
              </w:rPr>
              <w:t>构出具的“塑料部件”</w:t>
            </w:r>
            <w:r>
              <w:rPr>
                <w:rFonts w:hint="eastAsia" w:ascii="宋体" w:hAnsi="宋体" w:eastAsia="宋体" w:cs="宋体"/>
                <w:color w:val="auto"/>
                <w:sz w:val="18"/>
                <w:szCs w:val="18"/>
                <w:highlight w:val="none"/>
                <w:lang w:val="en-US" w:eastAsia="zh-CN"/>
              </w:rPr>
              <w:t>抽样</w:t>
            </w:r>
            <w:r>
              <w:rPr>
                <w:rFonts w:hint="eastAsia" w:ascii="宋体" w:hAnsi="宋体" w:eastAsia="宋体" w:cs="宋体"/>
                <w:color w:val="auto"/>
                <w:sz w:val="18"/>
                <w:szCs w:val="18"/>
                <w:highlight w:val="none"/>
              </w:rPr>
              <w:t>检测报告（检测内容需在同一份报告内体现），检测项目内容至少包含：</w:t>
            </w:r>
            <w:r>
              <w:rPr>
                <w:rFonts w:hint="eastAsia" w:ascii="宋体" w:hAnsi="宋体" w:eastAsia="宋体" w:cs="宋体"/>
                <w:color w:val="auto"/>
                <w:sz w:val="18"/>
                <w:szCs w:val="18"/>
                <w:highlight w:val="none"/>
                <w:lang w:val="en-US" w:eastAsia="zh-CN"/>
              </w:rPr>
              <w:t xml:space="preserve">                                                                   </w:t>
            </w:r>
            <w:r>
              <w:rPr>
                <w:rFonts w:hint="eastAsia" w:ascii="宋体" w:hAnsi="宋体" w:eastAsia="宋体" w:cs="宋体"/>
                <w:color w:val="auto"/>
                <w:sz w:val="18"/>
                <w:szCs w:val="18"/>
                <w:highlight w:val="none"/>
              </w:rPr>
              <w:t>一、邻苯二甲酸酯:（依据：GB28481-2012《塑料家具中有害物质限量》标准要求，单项评价结果须为“合格”）（DBP、BBP、DEHP、DNOP、DINP、DIDP）≤0.1%；</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二、重金属：（依据：GB28481-2012《塑料家具中有害物质限量》标准要求，单项评价结果须为“合格”）</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1、可溶性铅≤90（mg/kg）；</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2、可溶性镉≤75（mg/kg）；</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3、可溶性铬≤60（mg/kg）；</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4、可溶性汞≤60（mg/kg）；</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三、抗菌性能要求（其它材料覆面的家具）：（依据：QB/T4371-2012《家具抗菌性能的评价》标准要求，单项评价结果须为“合格”）当抑菌率不小于90%时，表示样品具有抗菌效果；当抑菌率不小于99%时，表示样品具有较好的抑菌效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r>
              <w:rPr>
                <w:rFonts w:hint="eastAsia" w:ascii="宋体" w:hAnsi="宋体" w:eastAsia="宋体" w:cs="宋体"/>
                <w:color w:val="auto"/>
                <w:sz w:val="18"/>
                <w:szCs w:val="18"/>
                <w:highlight w:val="none"/>
              </w:rPr>
              <w:t>四、塑料防霉剂的防霉效果：（依据：GB/T24128-2018《塑料 塑料防霉剂的防霉效果评估》标准要求）检测结果为0级；</w:t>
            </w:r>
            <w:r>
              <w:rPr>
                <w:rFonts w:hint="eastAsia" w:ascii="宋体" w:hAnsi="宋体" w:cs="宋体"/>
                <w:color w:val="auto"/>
                <w:sz w:val="18"/>
                <w:szCs w:val="18"/>
                <w:highlight w:val="none"/>
                <w:lang w:val="en-US" w:eastAsia="zh-CN"/>
              </w:rPr>
              <w:t xml:space="preserve">                  </w:t>
            </w:r>
            <w:r>
              <w:rPr>
                <w:rFonts w:hint="eastAsia" w:ascii="宋体" w:hAnsi="宋体" w:cs="宋体"/>
                <w:color w:val="auto"/>
                <w:sz w:val="18"/>
                <w:szCs w:val="18"/>
                <w:highlight w:val="none"/>
              </w:rPr>
              <w:t xml:space="preserve"> </w:t>
            </w:r>
            <w:r>
              <w:rPr>
                <w:rFonts w:hint="eastAsia" w:ascii="宋体" w:hAnsi="宋体" w:cs="宋体"/>
                <w:color w:val="auto"/>
                <w:sz w:val="18"/>
                <w:szCs w:val="18"/>
                <w:highlight w:val="none"/>
                <w:lang w:val="en-US" w:eastAsia="zh-CN"/>
              </w:rPr>
              <w:t xml:space="preserve">                                                 </w:t>
            </w:r>
            <w:r>
              <w:rPr>
                <w:rFonts w:hint="eastAsia" w:ascii="宋体" w:hAnsi="宋体" w:eastAsia="宋体" w:cs="宋体"/>
                <w:color w:val="auto"/>
                <w:kern w:val="0"/>
                <w:sz w:val="18"/>
                <w:szCs w:val="18"/>
                <w:highlight w:val="none"/>
                <w:lang w:val="en-US" w:eastAsia="zh-CN" w:bidi="ar"/>
              </w:rPr>
              <w:t>注：须提供相关检测报告复印件并加盖投标人公章，检测报告必须附有二维码，二维码扫描结果与检测报告内容一致，同时提供检测报告在中国国家认证认可监督管理委员会（http://www.cnca.gov.cn/）或国家市场监督管理总局政务服务平台http://cx.cnca.cn/CertECloud/qts/qts/qtsPage?showMode=2）的查询网址，检测报告为带CMA或CNAS标识的检测机构出具的检测报告，</w:t>
            </w:r>
            <w:r>
              <w:rPr>
                <w:rFonts w:hint="eastAsia" w:ascii="宋体" w:hAnsi="宋体" w:eastAsia="宋体" w:cs="宋体"/>
                <w:color w:val="auto"/>
                <w:sz w:val="18"/>
                <w:szCs w:val="18"/>
                <w:highlight w:val="none"/>
                <w:lang w:val="en-US" w:eastAsia="zh-CN"/>
              </w:rPr>
              <w:t>检验报告中受检（或委托）单位应与</w:t>
            </w:r>
            <w:r>
              <w:rPr>
                <w:rFonts w:hint="eastAsia" w:ascii="宋体" w:hAnsi="宋体" w:cs="宋体"/>
                <w:color w:val="auto"/>
                <w:sz w:val="18"/>
                <w:szCs w:val="18"/>
                <w:highlight w:val="none"/>
                <w:lang w:val="en-US" w:eastAsia="zh-CN"/>
              </w:rPr>
              <w:t>投标人</w:t>
            </w:r>
            <w:r>
              <w:rPr>
                <w:rFonts w:hint="eastAsia" w:ascii="宋体" w:hAnsi="宋体" w:eastAsia="宋体" w:cs="宋体"/>
                <w:color w:val="auto"/>
                <w:sz w:val="18"/>
                <w:szCs w:val="18"/>
                <w:highlight w:val="none"/>
                <w:lang w:val="en-US" w:eastAsia="zh-CN"/>
              </w:rPr>
              <w:t>或生产厂家一致。</w:t>
            </w:r>
            <w:r>
              <w:rPr>
                <w:rFonts w:hint="eastAsia" w:ascii="宋体" w:hAnsi="宋体" w:eastAsia="宋体" w:cs="宋体"/>
                <w:color w:val="auto"/>
                <w:kern w:val="0"/>
                <w:sz w:val="18"/>
                <w:szCs w:val="18"/>
                <w:highlight w:val="none"/>
                <w:lang w:val="en-US" w:eastAsia="zh-CN" w:bidi="ar"/>
              </w:rPr>
              <w:t>完全满足得3分，其余不得分。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18"/>
                <w:szCs w:val="18"/>
                <w:highlight w:val="none"/>
                <w:lang w:val="en-US" w:eastAsia="zh-CN" w:bidi="ar"/>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6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16</w:t>
            </w:r>
          </w:p>
        </w:tc>
        <w:tc>
          <w:tcPr>
            <w:tcW w:w="780"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3</w:t>
            </w:r>
          </w:p>
        </w:tc>
        <w:tc>
          <w:tcPr>
            <w:tcW w:w="70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据投标人提供的样品的质量情况进行评价：样品铸铝接缝，不容易变形的得3分；样品有细微变形得1分。样品存在较大缺陷或不符合项目需求的不得分。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6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17</w:t>
            </w:r>
          </w:p>
        </w:tc>
        <w:tc>
          <w:tcPr>
            <w:tcW w:w="780"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3</w:t>
            </w:r>
          </w:p>
        </w:tc>
        <w:tc>
          <w:tcPr>
            <w:tcW w:w="70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根据提供的木质件无蛀虫现象、外表无腐朽材、无贯通裂缝、薄木、塑料等材料贴面应无明显透胶、脱胶、凹陷、压痕、鼓泡、胶迹得3分，有细微缺陷【存在但不限于：蛀虫现象或外表腐朽材或贯通裂缝或薄木或塑料等材料贴面或有透胶或脱胶或凹陷或压痕或鼓泡或胶迹现象等】得1分。样品存在较大缺陷或不符合项目需求的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6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18</w:t>
            </w:r>
          </w:p>
        </w:tc>
        <w:tc>
          <w:tcPr>
            <w:tcW w:w="780"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3</w:t>
            </w:r>
          </w:p>
        </w:tc>
        <w:tc>
          <w:tcPr>
            <w:tcW w:w="70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根据提供样品中连接件安装不应有少件、漏钉、透钉（预留孔、选择孔除外）且安装应严密、平整、端正、牢固，结合处应无开裂或松动的得3分，有细微缺陷【存在但不限于：少件或漏钉或透钉（预留孔、选择孔除外）或安装不严密或不平整或不端正或不牢固，结合开裂或松动现象等】得1分。样品存在较大缺陷或不符合项目需求的不得分。</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6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19</w:t>
            </w:r>
          </w:p>
        </w:tc>
        <w:tc>
          <w:tcPr>
            <w:tcW w:w="780"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2</w:t>
            </w:r>
          </w:p>
        </w:tc>
        <w:tc>
          <w:tcPr>
            <w:tcW w:w="7057" w:type="dxa"/>
            <w:tcBorders>
              <w:top w:val="outset" w:color="auto" w:sz="6" w:space="0"/>
              <w:left w:val="outset" w:color="auto" w:sz="6" w:space="0"/>
              <w:bottom w:val="outset" w:color="auto" w:sz="6" w:space="0"/>
              <w:right w:val="outset" w:color="auto" w:sz="6"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根据提供样品漆膜要求：同色部件的色泽应相似、应无褪色、掉色现象、涂层不应有皱皮、发粘或漏漆现象、涂层应平整光滑、清晰、无明显粒子、涨边现象；应无明显加工痕迹、划痕、雾光、白棱、白点、鼓泡、油白、 流挂、缩孔、刷毛、积粉和杂渣得2分，有细微缺陷【存在但不限于：同色部件的色泽不相似或褪色或掉色现象或涂层皱皮或发粘或漏漆现象或涂层不平整光滑或不清晰或粒子或涨边现象或划痕或雾光或白棱或白点或鼓泡或油白或流挂或缩孔或刷毛或积粉或杂渣等】得1分。样品存在较大缺陷或不符合项目需求的不得分。</w:t>
            </w:r>
          </w:p>
        </w:tc>
      </w:tr>
    </w:tbl>
    <w:p>
      <w:pPr>
        <w:keepNext w:val="0"/>
        <w:keepLines w:val="0"/>
        <w:pageBreakBefore w:val="0"/>
        <w:tabs>
          <w:tab w:val="left" w:pos="-1080"/>
          <w:tab w:val="left" w:pos="180"/>
          <w:tab w:val="left" w:pos="1080"/>
        </w:tabs>
        <w:kinsoku/>
        <w:wordWrap/>
        <w:overflowPunct/>
        <w:topLinePunct w:val="0"/>
        <w:autoSpaceDE/>
        <w:autoSpaceDN/>
        <w:bidi w:val="0"/>
        <w:adjustRightInd/>
        <w:snapToGrid/>
        <w:spacing w:line="360" w:lineRule="auto"/>
        <w:ind w:firstLine="0" w:firstLineChars="0"/>
        <w:textAlignment w:val="auto"/>
        <w:rPr>
          <w:rFonts w:hint="eastAsia" w:ascii="宋体" w:hAnsi="宋体" w:eastAsia="宋体" w:cs="宋体"/>
          <w:color w:val="auto"/>
          <w:sz w:val="24"/>
          <w:szCs w:val="24"/>
          <w:highlight w:val="none"/>
        </w:rPr>
      </w:pPr>
    </w:p>
    <w:p>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（二）商务评分(F2)：按</w:t>
      </w:r>
      <w:r>
        <w:rPr>
          <w:rFonts w:hint="eastAsia" w:ascii="宋体" w:hAnsi="宋体" w:cs="宋体"/>
          <w:color w:val="auto"/>
          <w:sz w:val="24"/>
          <w:szCs w:val="24"/>
          <w:highlight w:val="none"/>
          <w:lang w:val="en-US" w:eastAsia="zh-CN"/>
        </w:rPr>
        <w:t>15</w:t>
      </w:r>
      <w:r>
        <w:rPr>
          <w:rFonts w:hint="eastAsia" w:ascii="宋体" w:hAnsi="宋体" w:eastAsia="宋体" w:cs="宋体"/>
          <w:color w:val="auto"/>
          <w:sz w:val="24"/>
          <w:szCs w:val="24"/>
          <w:highlight w:val="none"/>
        </w:rPr>
        <w:t>分评分法，商务评分考虑下列因素：</w:t>
      </w:r>
    </w:p>
    <w:tbl>
      <w:tblPr>
        <w:tblStyle w:val="14"/>
        <w:tblW w:w="0" w:type="auto"/>
        <w:tblInd w:w="-1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06"/>
        <w:gridCol w:w="606"/>
        <w:gridCol w:w="7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0" w:type="auto"/>
            <w:tcBorders>
              <w:tl2br w:val="nil"/>
              <w:tr2bl w:val="nil"/>
            </w:tcBorders>
            <w:noWrap w:val="0"/>
            <w:vAlign w:val="center"/>
          </w:tcPr>
          <w:p>
            <w:pPr>
              <w:keepNext w:val="0"/>
              <w:keepLines w:val="0"/>
              <w:widowControl/>
              <w:suppressLineNumbers w:val="0"/>
              <w:spacing w:before="0" w:beforeAutospacing="0" w:after="0" w:afterAutospacing="0"/>
              <w:ind w:left="0" w:right="0" w:firstLine="356" w:firstLineChars="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评标项目</w:t>
            </w:r>
          </w:p>
        </w:tc>
        <w:tc>
          <w:tcPr>
            <w:tcW w:w="402" w:type="dxa"/>
            <w:tcBorders>
              <w:tl2br w:val="nil"/>
              <w:tr2bl w:val="nil"/>
            </w:tcBorders>
            <w:noWrap w:val="0"/>
            <w:vAlign w:val="center"/>
          </w:tcPr>
          <w:p>
            <w:pPr>
              <w:keepNext w:val="0"/>
              <w:keepLines w:val="0"/>
              <w:widowControl/>
              <w:suppressLineNumbers w:val="0"/>
              <w:spacing w:before="0" w:beforeAutospacing="0" w:after="0" w:afterAutospacing="0"/>
              <w:ind w:left="0" w:right="0" w:firstLine="356" w:firstLineChars="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评标分值</w:t>
            </w:r>
          </w:p>
        </w:tc>
        <w:tc>
          <w:tcPr>
            <w:tcW w:w="7682" w:type="dxa"/>
            <w:tcBorders>
              <w:tl2br w:val="nil"/>
              <w:tr2bl w:val="nil"/>
            </w:tcBorders>
            <w:noWrap w:val="0"/>
            <w:vAlign w:val="center"/>
          </w:tcPr>
          <w:p>
            <w:pPr>
              <w:keepNext w:val="0"/>
              <w:keepLines w:val="0"/>
              <w:widowControl/>
              <w:suppressLineNumbers w:val="0"/>
              <w:spacing w:before="0" w:beforeAutospacing="0" w:after="0" w:afterAutospacing="0"/>
              <w:ind w:left="0" w:right="0" w:firstLine="356" w:firstLineChars="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评标方法描述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noWrap w:val="0"/>
            <w:vAlign w:val="center"/>
          </w:tcPr>
          <w:p>
            <w:pPr>
              <w:keepNext w:val="0"/>
              <w:keepLines w:val="0"/>
              <w:widowControl/>
              <w:suppressLineNumbers w:val="0"/>
              <w:spacing w:before="0" w:beforeAutospacing="0" w:after="0" w:afterAutospacing="0"/>
              <w:ind w:left="0" w:right="0" w:firstLine="356" w:firstLineChars="0"/>
              <w:jc w:val="lef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1</w:t>
            </w:r>
          </w:p>
        </w:tc>
        <w:tc>
          <w:tcPr>
            <w:tcW w:w="402" w:type="dxa"/>
            <w:tcBorders>
              <w:tl2br w:val="nil"/>
              <w:tr2bl w:val="nil"/>
            </w:tcBorders>
            <w:noWrap w:val="0"/>
            <w:vAlign w:val="center"/>
          </w:tcPr>
          <w:p>
            <w:pPr>
              <w:keepNext w:val="0"/>
              <w:keepLines w:val="0"/>
              <w:widowControl/>
              <w:suppressLineNumbers w:val="0"/>
              <w:spacing w:before="0" w:beforeAutospacing="0" w:after="0" w:afterAutospacing="0"/>
              <w:ind w:left="0" w:right="0" w:firstLine="356" w:firstLineChars="0"/>
              <w:jc w:val="lef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1</w:t>
            </w:r>
          </w:p>
        </w:tc>
        <w:tc>
          <w:tcPr>
            <w:tcW w:w="7682" w:type="dxa"/>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投标人具有质量管理体系认证证书的得1分，需提供有效期内的证书复印件并加盖投标人公章，否则不得分。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noWrap w:val="0"/>
            <w:vAlign w:val="center"/>
          </w:tcPr>
          <w:p>
            <w:pPr>
              <w:keepNext w:val="0"/>
              <w:keepLines w:val="0"/>
              <w:widowControl/>
              <w:suppressLineNumbers w:val="0"/>
              <w:spacing w:before="0" w:beforeAutospacing="0" w:after="0" w:afterAutospacing="0"/>
              <w:ind w:left="0" w:right="0" w:firstLine="356" w:firstLineChars="0"/>
              <w:jc w:val="left"/>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2</w:t>
            </w:r>
          </w:p>
        </w:tc>
        <w:tc>
          <w:tcPr>
            <w:tcW w:w="402" w:type="dxa"/>
            <w:tcBorders>
              <w:tl2br w:val="nil"/>
              <w:tr2bl w:val="nil"/>
            </w:tcBorders>
            <w:noWrap w:val="0"/>
            <w:vAlign w:val="center"/>
          </w:tcPr>
          <w:p>
            <w:pPr>
              <w:keepNext w:val="0"/>
              <w:keepLines w:val="0"/>
              <w:widowControl/>
              <w:suppressLineNumbers w:val="0"/>
              <w:spacing w:before="0" w:beforeAutospacing="0" w:after="0" w:afterAutospacing="0"/>
              <w:ind w:left="0" w:right="0" w:firstLine="356" w:firstLineChars="0"/>
              <w:jc w:val="left"/>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1</w:t>
            </w:r>
          </w:p>
        </w:tc>
        <w:tc>
          <w:tcPr>
            <w:tcW w:w="7682" w:type="dxa"/>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投标人具有环境管理体系认证证书的得1分，需提供有效期内的证书复印件并加盖投标人公章，否则不得分。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noWrap w:val="0"/>
            <w:vAlign w:val="center"/>
          </w:tcPr>
          <w:p>
            <w:pPr>
              <w:keepNext w:val="0"/>
              <w:keepLines w:val="0"/>
              <w:widowControl/>
              <w:suppressLineNumbers w:val="0"/>
              <w:spacing w:before="0" w:beforeAutospacing="0" w:after="0" w:afterAutospacing="0"/>
              <w:ind w:left="0" w:right="0" w:firstLine="356" w:firstLineChars="0"/>
              <w:jc w:val="left"/>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3</w:t>
            </w:r>
          </w:p>
        </w:tc>
        <w:tc>
          <w:tcPr>
            <w:tcW w:w="402" w:type="dxa"/>
            <w:tcBorders>
              <w:tl2br w:val="nil"/>
              <w:tr2bl w:val="nil"/>
            </w:tcBorders>
            <w:noWrap w:val="0"/>
            <w:vAlign w:val="center"/>
          </w:tcPr>
          <w:p>
            <w:pPr>
              <w:keepNext w:val="0"/>
              <w:keepLines w:val="0"/>
              <w:widowControl/>
              <w:suppressLineNumbers w:val="0"/>
              <w:spacing w:before="0" w:beforeAutospacing="0" w:after="0" w:afterAutospacing="0"/>
              <w:ind w:left="0" w:right="0" w:firstLine="356" w:firstLineChars="0"/>
              <w:jc w:val="left"/>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1</w:t>
            </w:r>
          </w:p>
        </w:tc>
        <w:tc>
          <w:tcPr>
            <w:tcW w:w="7682" w:type="dxa"/>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投标人具有职业健康安全管理体系认证证书的得1分，需提供有效期内的证书复印件并加盖投标人公章，否则不得分。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noWrap w:val="0"/>
            <w:vAlign w:val="center"/>
          </w:tcPr>
          <w:p>
            <w:pPr>
              <w:keepNext w:val="0"/>
              <w:keepLines w:val="0"/>
              <w:widowControl/>
              <w:suppressLineNumbers w:val="0"/>
              <w:spacing w:before="0" w:beforeAutospacing="0" w:after="0" w:afterAutospacing="0"/>
              <w:ind w:left="0" w:right="0" w:firstLine="356" w:firstLineChars="0"/>
              <w:jc w:val="lef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4</w:t>
            </w:r>
          </w:p>
        </w:tc>
        <w:tc>
          <w:tcPr>
            <w:tcW w:w="402" w:type="dxa"/>
            <w:tcBorders>
              <w:tl2br w:val="nil"/>
              <w:tr2bl w:val="nil"/>
            </w:tcBorders>
            <w:noWrap w:val="0"/>
            <w:vAlign w:val="center"/>
          </w:tcPr>
          <w:p>
            <w:pPr>
              <w:keepNext w:val="0"/>
              <w:keepLines w:val="0"/>
              <w:widowControl/>
              <w:suppressLineNumbers w:val="0"/>
              <w:spacing w:before="0" w:beforeAutospacing="0" w:after="0" w:afterAutospacing="0"/>
              <w:ind w:left="0" w:right="0" w:firstLine="356" w:firstLineChars="0"/>
              <w:jc w:val="lef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3</w:t>
            </w:r>
          </w:p>
        </w:tc>
        <w:tc>
          <w:tcPr>
            <w:tcW w:w="7682" w:type="dxa"/>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针对本项目投标人编制各项管理制度（包括但不限于：内部管理制度、作业管理制度、安全管理制度，应结合本项目实际情况制定）、组织架构（包括但不限于：职能结构、层次结构、部门结构、职权结构）根据上述内容提供管理制度及组织架构得3分；管理制度方案及组织架构任意一项较为简单或未结合本项目实际情况制定，但都基本能符合项目需求，并且管理制度方案至少含盖：内部管理制度、作业管理制度、安全管理制度；组织架构至少含盖：职能结构、层次结构、部门结构的得1.5分，未提供方案或方案不可行或措施方案不符合项目需求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noWrap w:val="0"/>
            <w:vAlign w:val="center"/>
          </w:tcPr>
          <w:p>
            <w:pPr>
              <w:keepNext w:val="0"/>
              <w:keepLines w:val="0"/>
              <w:widowControl/>
              <w:suppressLineNumbers w:val="0"/>
              <w:spacing w:before="0" w:beforeAutospacing="0" w:after="0" w:afterAutospacing="0"/>
              <w:ind w:left="0" w:right="0" w:firstLine="356" w:firstLineChars="0"/>
              <w:jc w:val="lef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5</w:t>
            </w:r>
          </w:p>
        </w:tc>
        <w:tc>
          <w:tcPr>
            <w:tcW w:w="402" w:type="dxa"/>
            <w:tcBorders>
              <w:tl2br w:val="nil"/>
              <w:tr2bl w:val="nil"/>
            </w:tcBorders>
            <w:noWrap w:val="0"/>
            <w:vAlign w:val="center"/>
          </w:tcPr>
          <w:p>
            <w:pPr>
              <w:keepNext w:val="0"/>
              <w:keepLines w:val="0"/>
              <w:widowControl/>
              <w:suppressLineNumbers w:val="0"/>
              <w:spacing w:before="0" w:beforeAutospacing="0" w:after="0" w:afterAutospacing="0"/>
              <w:ind w:left="0" w:right="0" w:firstLine="356" w:firstLineChars="0"/>
              <w:jc w:val="lef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3</w:t>
            </w:r>
          </w:p>
        </w:tc>
        <w:tc>
          <w:tcPr>
            <w:tcW w:w="7682" w:type="dxa"/>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根据投标人保修</w:t>
            </w:r>
            <w:r>
              <w:rPr>
                <w:rFonts w:hint="eastAsia" w:ascii="宋体" w:hAnsi="宋体" w:cs="宋体"/>
                <w:color w:val="auto"/>
                <w:sz w:val="18"/>
                <w:szCs w:val="18"/>
                <w:highlight w:val="none"/>
                <w:lang w:val="en-US" w:eastAsia="zh-CN"/>
              </w:rPr>
              <w:t>书面</w:t>
            </w:r>
            <w:r>
              <w:rPr>
                <w:rFonts w:hint="eastAsia" w:ascii="宋体" w:hAnsi="宋体" w:eastAsia="宋体" w:cs="宋体"/>
                <w:color w:val="auto"/>
                <w:sz w:val="18"/>
                <w:szCs w:val="18"/>
                <w:highlight w:val="none"/>
                <w:lang w:val="en-US" w:eastAsia="zh-CN"/>
              </w:rPr>
              <w:t>承诺</w:t>
            </w:r>
            <w:r>
              <w:rPr>
                <w:rFonts w:hint="eastAsia" w:ascii="宋体" w:hAnsi="宋体" w:cs="宋体"/>
                <w:color w:val="auto"/>
                <w:sz w:val="18"/>
                <w:szCs w:val="18"/>
                <w:highlight w:val="none"/>
                <w:lang w:val="en-US" w:eastAsia="zh-CN"/>
              </w:rPr>
              <w:t>（格式自拟）</w:t>
            </w:r>
            <w:r>
              <w:rPr>
                <w:rFonts w:hint="eastAsia" w:ascii="宋体" w:hAnsi="宋体" w:eastAsia="宋体" w:cs="宋体"/>
                <w:color w:val="auto"/>
                <w:sz w:val="18"/>
                <w:szCs w:val="18"/>
                <w:highlight w:val="none"/>
                <w:lang w:val="en-US" w:eastAsia="zh-CN"/>
              </w:rPr>
              <w:t>进行评价：保修期满足招标文件要求</w:t>
            </w:r>
            <w:r>
              <w:rPr>
                <w:rFonts w:hint="eastAsia" w:ascii="宋体" w:hAnsi="宋体" w:cs="宋体"/>
                <w:color w:val="auto"/>
                <w:sz w:val="18"/>
                <w:szCs w:val="18"/>
                <w:highlight w:val="none"/>
                <w:lang w:val="en-US" w:eastAsia="zh-CN"/>
              </w:rPr>
              <w:t>5年</w:t>
            </w:r>
            <w:r>
              <w:rPr>
                <w:rFonts w:hint="eastAsia" w:ascii="宋体" w:hAnsi="宋体" w:eastAsia="宋体" w:cs="宋体"/>
                <w:color w:val="auto"/>
                <w:sz w:val="18"/>
                <w:szCs w:val="18"/>
                <w:highlight w:val="none"/>
                <w:lang w:val="en-US" w:eastAsia="zh-CN"/>
              </w:rPr>
              <w:t>的基础上，每增加一年加1.5分，满分3分。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noWrap w:val="0"/>
            <w:vAlign w:val="center"/>
          </w:tcPr>
          <w:p>
            <w:pPr>
              <w:keepNext w:val="0"/>
              <w:keepLines w:val="0"/>
              <w:widowControl/>
              <w:suppressLineNumbers w:val="0"/>
              <w:spacing w:before="0" w:beforeAutospacing="0" w:after="0" w:afterAutospacing="0"/>
              <w:ind w:left="0" w:right="0" w:firstLine="356" w:firstLineChars="0"/>
              <w:jc w:val="lef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6</w:t>
            </w:r>
          </w:p>
        </w:tc>
        <w:tc>
          <w:tcPr>
            <w:tcW w:w="402" w:type="dxa"/>
            <w:tcBorders>
              <w:tl2br w:val="nil"/>
              <w:tr2bl w:val="nil"/>
            </w:tcBorders>
            <w:noWrap w:val="0"/>
            <w:vAlign w:val="center"/>
          </w:tcPr>
          <w:p>
            <w:pPr>
              <w:keepNext w:val="0"/>
              <w:keepLines w:val="0"/>
              <w:widowControl/>
              <w:suppressLineNumbers w:val="0"/>
              <w:spacing w:before="0" w:beforeAutospacing="0" w:after="0" w:afterAutospacing="0"/>
              <w:ind w:left="0" w:right="0" w:firstLine="356" w:firstLineChars="0"/>
              <w:jc w:val="lef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3</w:t>
            </w:r>
          </w:p>
        </w:tc>
        <w:tc>
          <w:tcPr>
            <w:tcW w:w="7682" w:type="dxa"/>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根据投标人2021年1月1日至开标当日（以合同签订时间为准）类似项目的经营业绩、经验的有效证明文件进行评价：每个有效业绩得1分，满分3分。有效证明文件包括以下四项： ①中标（成交）公告（提供相关网站中标（成交）公告的下载网页及其网址）； ②中标（成交）通知书复印件扫描件； ③采购合同文本复印件扫描件； ④能够证明该业绩项目已经采购人验收合格的相关证明文件复印件扫描件。 备注：如未按照招标文件要求提供该项业绩完整资料的，评标委员会对该项业绩将不予采信。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402" w:type="dxa"/>
            <w:tcBorders>
              <w:tl2br w:val="nil"/>
              <w:tr2bl w:val="nil"/>
            </w:tcBorders>
            <w:noWrap w:val="0"/>
            <w:vAlign w:val="center"/>
          </w:tcPr>
          <w:p>
            <w:pPr>
              <w:keepNext w:val="0"/>
              <w:keepLines w:val="0"/>
              <w:widowControl/>
              <w:suppressLineNumbers w:val="0"/>
              <w:spacing w:before="0" w:beforeAutospacing="0" w:after="0" w:afterAutospacing="0"/>
              <w:ind w:left="0" w:right="0" w:firstLine="356" w:firstLineChars="0"/>
              <w:jc w:val="lef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7</w:t>
            </w:r>
          </w:p>
        </w:tc>
        <w:tc>
          <w:tcPr>
            <w:tcW w:w="402" w:type="dxa"/>
            <w:tcBorders>
              <w:tl2br w:val="nil"/>
              <w:tr2bl w:val="nil"/>
            </w:tcBorders>
            <w:noWrap w:val="0"/>
            <w:vAlign w:val="center"/>
          </w:tcPr>
          <w:p>
            <w:pPr>
              <w:keepNext w:val="0"/>
              <w:keepLines w:val="0"/>
              <w:widowControl/>
              <w:suppressLineNumbers w:val="0"/>
              <w:spacing w:before="0" w:beforeAutospacing="0" w:after="0" w:afterAutospacing="0"/>
              <w:ind w:left="0" w:right="0" w:firstLine="356" w:firstLineChars="0"/>
              <w:jc w:val="left"/>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3</w:t>
            </w:r>
          </w:p>
        </w:tc>
        <w:tc>
          <w:tcPr>
            <w:tcW w:w="7682" w:type="dxa"/>
            <w:tcBorders>
              <w:tl2br w:val="nil"/>
              <w:tr2bl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both"/>
              <w:textAlignment w:val="auto"/>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根据投标人2021年1月1日至开标当日（以合同签订时间为准）类似项目的经营业绩获得业主满意度评价情况进行评价：每获得一份业主满意（良好）或以上评价的得1分，满分3分，须提供满意度评价证明资料及合同复印件扫描件进行佐证，否则不得分。 【说明：同一业主单位按一份计算，验收合格证明不作为满意度评价材料。此项不与商务分第四项业绩重复，否则不予认可。】</w:t>
            </w:r>
          </w:p>
        </w:tc>
      </w:tr>
    </w:tbl>
    <w:p>
      <w:pPr>
        <w:tabs>
          <w:tab w:val="left" w:pos="-1080"/>
          <w:tab w:val="left" w:pos="180"/>
          <w:tab w:val="left" w:pos="1080"/>
        </w:tabs>
        <w:spacing w:line="360" w:lineRule="auto"/>
        <w:rPr>
          <w:rFonts w:hint="eastAsia" w:ascii="宋体" w:hAnsi="宋体" w:eastAsia="宋体" w:cs="宋体"/>
          <w:color w:val="auto"/>
          <w:sz w:val="24"/>
          <w:szCs w:val="24"/>
          <w:highlight w:val="none"/>
        </w:rPr>
      </w:pPr>
    </w:p>
    <w:p>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（三）价格评分(F3)：按</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分评分法，评标委员会对各有效标投标报价进行审核确定评标价，并将最低有效标的评标价设为基准价，定其价格得分为</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分。按公式：价格得分＝</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sym w:font="Symbol" w:char="00B4"/>
      </w:r>
      <w:r>
        <w:rPr>
          <w:rFonts w:hint="eastAsia" w:ascii="宋体" w:hAnsi="宋体" w:eastAsia="宋体" w:cs="宋体"/>
          <w:color w:val="auto"/>
          <w:sz w:val="24"/>
          <w:szCs w:val="24"/>
          <w:highlight w:val="none"/>
        </w:rPr>
        <w:t xml:space="preserve"> （基准价/各个通过审核的有效投标人的评标价）计算，由此算出各个通过审核的有效投标人的价格得分。</w:t>
      </w:r>
    </w:p>
    <w:p>
      <w:pPr>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“小型和微型企业产品”的评分政策：投标人提供的货物既有中型企业制造，也有小微企业制造的，不享受办法规定的小微企业扶持政策。</w:t>
      </w:r>
    </w:p>
    <w:p>
      <w:pPr>
        <w:pStyle w:val="5"/>
        <w:spacing w:line="360" w:lineRule="auto"/>
        <w:ind w:firstLine="480" w:firstLineChars="200"/>
        <w:rPr>
          <w:rFonts w:hint="eastAsia" w:hAnsi="宋体" w:eastAsia="宋体" w:cs="宋体"/>
          <w:color w:val="auto"/>
          <w:sz w:val="24"/>
          <w:szCs w:val="24"/>
          <w:highlight w:val="none"/>
        </w:rPr>
      </w:pPr>
      <w:r>
        <w:rPr>
          <w:rFonts w:hint="eastAsia" w:hAnsi="宋体" w:eastAsia="宋体" w:cs="宋体"/>
          <w:color w:val="auto"/>
          <w:sz w:val="24"/>
          <w:szCs w:val="24"/>
          <w:highlight w:val="none"/>
        </w:rPr>
        <w:t>对其提供的小型或微型企业产品的投标报价给予20%的扣除，扣除后的价格作为该投标人的评标价参与价格评分。</w:t>
      </w:r>
    </w:p>
    <w:p>
      <w:pPr>
        <w:pStyle w:val="5"/>
        <w:spacing w:line="360" w:lineRule="auto"/>
        <w:ind w:firstLine="480" w:firstLineChars="200"/>
        <w:rPr>
          <w:rFonts w:hint="eastAsia" w:hAnsi="宋体" w:eastAsia="宋体" w:cs="宋体"/>
          <w:color w:val="auto"/>
          <w:sz w:val="24"/>
          <w:szCs w:val="24"/>
          <w:highlight w:val="none"/>
        </w:rPr>
      </w:pPr>
      <w:r>
        <w:rPr>
          <w:rFonts w:hint="eastAsia" w:hAnsi="宋体" w:eastAsia="宋体" w:cs="宋体"/>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w:t>
      </w:r>
      <w:r>
        <w:rPr>
          <w:rFonts w:hint="eastAsia" w:hAnsi="宋体" w:cs="宋体"/>
          <w:color w:val="auto"/>
          <w:sz w:val="24"/>
          <w:szCs w:val="24"/>
          <w:highlight w:val="none"/>
          <w:lang w:eastAsia="zh-CN"/>
        </w:rPr>
        <w:t>采购单位</w:t>
      </w:r>
      <w:r>
        <w:rPr>
          <w:rFonts w:hint="eastAsia" w:hAnsi="宋体" w:eastAsia="宋体" w:cs="宋体"/>
          <w:color w:val="auto"/>
          <w:sz w:val="24"/>
          <w:szCs w:val="24"/>
          <w:highlight w:val="none"/>
        </w:rPr>
        <w:t>、采购代理机构应当对联合体或者大中型企业的报价给予6%的扣除，用扣除后的价格参加评审。</w:t>
      </w:r>
    </w:p>
    <w:p>
      <w:pPr>
        <w:pStyle w:val="5"/>
        <w:spacing w:line="360" w:lineRule="auto"/>
        <w:ind w:firstLine="480" w:firstLineChars="200"/>
        <w:rPr>
          <w:rFonts w:hint="eastAsia" w:hAnsi="宋体" w:eastAsia="宋体" w:cs="宋体"/>
          <w:color w:val="auto"/>
          <w:sz w:val="24"/>
          <w:szCs w:val="24"/>
          <w:highlight w:val="none"/>
        </w:rPr>
      </w:pPr>
      <w:r>
        <w:rPr>
          <w:rFonts w:hint="eastAsia" w:hAnsi="宋体" w:eastAsia="宋体" w:cs="宋体"/>
          <w:color w:val="auto"/>
          <w:sz w:val="24"/>
          <w:szCs w:val="24"/>
          <w:highlight w:val="none"/>
        </w:rPr>
        <w:t>联合体各方均为小型、微型企业的，联合体视同为小型、微型企业。按照《财政部 司法部关于政府采购支持监狱企业发展有关问题的通知》（财库〔2014〕68号）有关规定，监狱企业视同小型、微型企业。</w:t>
      </w:r>
    </w:p>
    <w:p>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节能、环保产品价格扣除：有节能（强制采购节能产品的除外）、环保产品认证证书的投标产品，且属于《环境标志产品政府采购品目清单》范围内产品或《节能产品政府采购品目清单》范围内产品，在评标时将给予评审价格扣除，具体如下：</w:t>
      </w:r>
    </w:p>
    <w:p>
      <w:p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对节能产品、环境标志产品政府采购品目清单范围内，实施优先采购的产品，给予产品价格报价10%的扣除，用扣除后的价格参加评审。采购标的同时包含其它非优先采购产品的，投标人须对优先采购产品和非优先采购产品进行分项报价，非优先采购产品的报价不得享受给予节能产品、环境标志产品的价格扣除优惠。</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四</w:t>
      </w:r>
      <w:r>
        <w:rPr>
          <w:rFonts w:hint="eastAsia" w:ascii="宋体" w:hAnsi="宋体" w:eastAsia="宋体" w:cs="宋体"/>
          <w:color w:val="auto"/>
          <w:sz w:val="24"/>
          <w:szCs w:val="24"/>
          <w:highlight w:val="none"/>
        </w:rPr>
        <w:t>）综合得分= F1+ F2 + F3 。</w:t>
      </w:r>
    </w:p>
    <w:p>
      <w:pPr>
        <w:pStyle w:val="5"/>
        <w:spacing w:line="360" w:lineRule="auto"/>
        <w:ind w:firstLine="840"/>
        <w:rPr>
          <w:rFonts w:hint="eastAsia" w:hAnsi="宋体" w:eastAsia="宋体" w:cs="宋体"/>
          <w:bCs/>
          <w:color w:val="auto"/>
          <w:sz w:val="24"/>
          <w:szCs w:val="24"/>
          <w:highlight w:val="none"/>
        </w:rPr>
      </w:pPr>
      <w:r>
        <w:rPr>
          <w:rFonts w:hint="eastAsia" w:hAnsi="宋体" w:eastAsia="宋体" w:cs="宋体"/>
          <w:bCs/>
          <w:color w:val="auto"/>
          <w:sz w:val="24"/>
          <w:szCs w:val="24"/>
          <w:highlight w:val="none"/>
        </w:rPr>
        <w:t>备注：1、技术商务评分中涉及排名情况的评分由评标委员会根据各投标人投标文件的响应情况进行综合评议得出排名。</w:t>
      </w:r>
    </w:p>
    <w:p>
      <w:pPr>
        <w:pStyle w:val="5"/>
        <w:numPr>
          <w:ilvl w:val="0"/>
          <w:numId w:val="3"/>
        </w:numPr>
        <w:spacing w:line="360" w:lineRule="auto"/>
        <w:ind w:firstLine="720" w:firstLineChars="300"/>
        <w:rPr>
          <w:rFonts w:hint="eastAsia" w:hAnsi="宋体" w:eastAsia="宋体" w:cs="宋体"/>
          <w:color w:val="auto"/>
          <w:sz w:val="24"/>
          <w:szCs w:val="24"/>
          <w:highlight w:val="none"/>
        </w:rPr>
      </w:pPr>
      <w:r>
        <w:rPr>
          <w:rFonts w:hint="eastAsia" w:hAnsi="宋体" w:eastAsia="宋体" w:cs="宋体"/>
          <w:color w:val="auto"/>
          <w:sz w:val="24"/>
          <w:szCs w:val="24"/>
          <w:highlight w:val="none"/>
        </w:rPr>
        <w:t>业绩作为评分条件的，投标人须提供该业绩项目的中标（成交）公告（提供相关网站中标（成交）公告的下载网页的复印件及其网址）、中标（成交）通知书复印件、采购合同文本复印件，以及能够证明该业绩项目已经</w:t>
      </w:r>
      <w:r>
        <w:rPr>
          <w:rFonts w:hint="eastAsia" w:hAnsi="宋体" w:cs="宋体"/>
          <w:color w:val="auto"/>
          <w:sz w:val="24"/>
          <w:szCs w:val="24"/>
          <w:highlight w:val="none"/>
          <w:lang w:eastAsia="zh-CN"/>
        </w:rPr>
        <w:t>采购单位</w:t>
      </w:r>
      <w:r>
        <w:rPr>
          <w:rFonts w:hint="eastAsia" w:hAnsi="宋体" w:eastAsia="宋体" w:cs="宋体"/>
          <w:color w:val="auto"/>
          <w:sz w:val="24"/>
          <w:szCs w:val="24"/>
          <w:highlight w:val="none"/>
        </w:rPr>
        <w:t>验收合格的相关证明文件复印件，原件备查；如未按招标文件要求提供该项业绩完整资料的，评标委员会对该项业绩将不予采信。</w:t>
      </w:r>
    </w:p>
    <w:p>
      <w:pPr>
        <w:pStyle w:val="5"/>
        <w:numPr>
          <w:ilvl w:val="0"/>
          <w:numId w:val="0"/>
        </w:numPr>
        <w:spacing w:line="360" w:lineRule="auto"/>
        <w:ind w:firstLine="720" w:firstLineChars="300"/>
        <w:rPr>
          <w:rFonts w:hint="eastAsia" w:hAnsi="宋体" w:eastAsia="宋体" w:cs="宋体"/>
          <w:color w:val="auto"/>
          <w:sz w:val="24"/>
          <w:szCs w:val="24"/>
          <w:highlight w:val="none"/>
        </w:rPr>
      </w:pPr>
    </w:p>
    <w:p>
      <w:pPr>
        <w:spacing w:line="360" w:lineRule="auto"/>
        <w:ind w:firstLine="1280" w:firstLineChars="4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投标人须知前附表4：中小企业优惠办法</w:t>
      </w:r>
    </w:p>
    <w:tbl>
      <w:tblPr>
        <w:tblStyle w:val="14"/>
        <w:tblW w:w="8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77"/>
        <w:gridCol w:w="6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90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677"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w:t>
            </w:r>
          </w:p>
        </w:tc>
        <w:tc>
          <w:tcPr>
            <w:tcW w:w="6063"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90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w:t>
            </w:r>
          </w:p>
        </w:tc>
        <w:tc>
          <w:tcPr>
            <w:tcW w:w="1677"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本项目是否属于专门面向中小企业的政府采购活动：</w:t>
            </w:r>
          </w:p>
        </w:tc>
        <w:tc>
          <w:tcPr>
            <w:tcW w:w="6063" w:type="dxa"/>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cs="宋体"/>
                <w:b/>
                <w:color w:val="auto"/>
                <w:sz w:val="24"/>
                <w:szCs w:val="24"/>
                <w:highlight w:val="none"/>
                <w:lang w:eastAsia="zh-CN"/>
              </w:rPr>
              <w:t>☑</w:t>
            </w:r>
            <w:r>
              <w:rPr>
                <w:rFonts w:hint="eastAsia" w:ascii="宋体" w:hAnsi="宋体" w:eastAsia="宋体" w:cs="宋体"/>
                <w:color w:val="auto"/>
                <w:sz w:val="24"/>
                <w:szCs w:val="24"/>
                <w:highlight w:val="none"/>
              </w:rPr>
              <w:t xml:space="preserve">是/ </w:t>
            </w: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900"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p>
        </w:tc>
        <w:tc>
          <w:tcPr>
            <w:tcW w:w="1677" w:type="dxa"/>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中小企业的认定标准</w:t>
            </w:r>
          </w:p>
        </w:tc>
        <w:tc>
          <w:tcPr>
            <w:tcW w:w="6063" w:type="dxa"/>
            <w:noWrap w:val="0"/>
            <w:vAlign w:val="top"/>
          </w:tcPr>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中小企业参加政府采购活动，应当出具《中小企业声明函》，否则不得享受相关中小企业扶持政策。</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须满足以下条件，才能认定为中小企业</w:t>
            </w:r>
            <w:r>
              <w:rPr>
                <w:rFonts w:hint="eastAsia" w:ascii="宋体" w:hAnsi="宋体" w:eastAsia="宋体" w:cs="宋体"/>
                <w:b/>
                <w:color w:val="auto"/>
                <w:sz w:val="24"/>
                <w:szCs w:val="24"/>
                <w:highlight w:val="none"/>
              </w:rPr>
              <w:t>（含中型、小型、微型企业，下同）</w:t>
            </w:r>
            <w:r>
              <w:rPr>
                <w:rFonts w:hint="eastAsia" w:ascii="宋体" w:hAnsi="宋体" w:eastAsia="宋体" w:cs="宋体"/>
                <w:color w:val="auto"/>
                <w:sz w:val="24"/>
                <w:szCs w:val="24"/>
                <w:highlight w:val="none"/>
              </w:rPr>
              <w:t>：</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政府采购促进中小企业发展管理办法》（财库〔2020〕46号）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jc w:val="center"/>
        </w:trPr>
        <w:tc>
          <w:tcPr>
            <w:tcW w:w="900" w:type="dxa"/>
            <w:noWrap w:val="0"/>
            <w:vAlign w:val="center"/>
          </w:tcPr>
          <w:p>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w:t>
            </w:r>
          </w:p>
        </w:tc>
        <w:tc>
          <w:tcPr>
            <w:tcW w:w="1677" w:type="dxa"/>
            <w:noWrap w:val="0"/>
            <w:vAlign w:val="center"/>
          </w:tcPr>
          <w:p>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优惠办法：</w:t>
            </w:r>
          </w:p>
        </w:tc>
        <w:tc>
          <w:tcPr>
            <w:tcW w:w="6063" w:type="dxa"/>
            <w:tcBorders>
              <w:bottom w:val="single" w:color="auto" w:sz="4" w:space="0"/>
            </w:tcBorders>
            <w:noWrap w:val="0"/>
            <w:vAlign w:val="top"/>
          </w:tcPr>
          <w:p>
            <w:pPr>
              <w:keepNext w:val="0"/>
              <w:keepLines w:val="0"/>
              <w:suppressLineNumbers w:val="0"/>
              <w:spacing w:before="0" w:beforeAutospacing="0" w:after="0" w:afterAutospacing="0" w:line="360" w:lineRule="auto"/>
              <w:ind w:left="-65" w:leftChars="-31" w:right="0" w:firstLine="12" w:firstLineChars="5"/>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投标人为中小企业（含中型、小型、微型企业，下同）：</w:t>
            </w:r>
          </w:p>
          <w:p>
            <w:pPr>
              <w:keepNext w:val="0"/>
              <w:keepLines w:val="0"/>
              <w:suppressLineNumbers w:val="0"/>
              <w:spacing w:before="0" w:beforeAutospacing="0" w:after="0" w:afterAutospacing="0" w:line="360" w:lineRule="auto"/>
              <w:ind w:left="411" w:right="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①投标保证金：按招标文件约定数额的50%交纳</w:t>
            </w:r>
          </w:p>
          <w:p>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②履约保证金：按约定比例的50%支付（如果有的话）</w:t>
            </w:r>
          </w:p>
          <w:p>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③</w:t>
            </w:r>
            <w:r>
              <w:rPr>
                <w:rStyle w:val="17"/>
                <w:rFonts w:hint="eastAsia" w:ascii="宋体" w:hAnsi="宋体" w:eastAsia="宋体" w:cs="宋体"/>
                <w:b w:val="0"/>
                <w:color w:val="auto"/>
                <w:kern w:val="0"/>
                <w:sz w:val="24"/>
                <w:szCs w:val="24"/>
                <w:highlight w:val="none"/>
              </w:rPr>
              <w:t>代理服务费</w:t>
            </w:r>
            <w:r>
              <w:rPr>
                <w:rFonts w:hint="eastAsia" w:ascii="宋体" w:hAnsi="宋体" w:eastAsia="宋体" w:cs="宋体"/>
                <w:color w:val="auto"/>
                <w:spacing w:val="-4"/>
                <w:sz w:val="24"/>
                <w:szCs w:val="24"/>
                <w:highlight w:val="none"/>
              </w:rPr>
              <w:t>：按招标文件规定的收费标准下调</w:t>
            </w:r>
            <w:r>
              <w:rPr>
                <w:rFonts w:hint="eastAsia" w:ascii="宋体" w:hAnsi="宋体" w:eastAsia="宋体" w:cs="宋体"/>
                <w:color w:val="auto"/>
                <w:spacing w:val="-4"/>
                <w:sz w:val="24"/>
                <w:szCs w:val="24"/>
                <w:highlight w:val="none"/>
                <w:lang w:val="en-US" w:eastAsia="zh-CN"/>
              </w:rPr>
              <w:t>1</w:t>
            </w:r>
            <w:r>
              <w:rPr>
                <w:rFonts w:hint="eastAsia" w:ascii="宋体" w:hAnsi="宋体" w:eastAsia="宋体" w:cs="宋体"/>
                <w:color w:val="auto"/>
                <w:spacing w:val="-4"/>
                <w:sz w:val="24"/>
                <w:szCs w:val="24"/>
                <w:highlight w:val="none"/>
              </w:rPr>
              <w:t>0%</w:t>
            </w:r>
          </w:p>
          <w:p>
            <w:pPr>
              <w:keepNext w:val="0"/>
              <w:keepLines w:val="0"/>
              <w:suppressLineNumbers w:val="0"/>
              <w:spacing w:before="0" w:beforeAutospacing="0" w:after="0" w:afterAutospacing="0" w:line="360" w:lineRule="auto"/>
              <w:ind w:left="-65" w:leftChars="-31" w:right="0" w:firstLine="12" w:firstLineChars="5"/>
              <w:rPr>
                <w:rFonts w:hint="eastAsia" w:ascii="宋体" w:hAnsi="宋体" w:eastAsia="宋体" w:cs="宋体"/>
                <w:b/>
                <w:color w:val="auto"/>
                <w:spacing w:val="-4"/>
                <w:sz w:val="24"/>
                <w:szCs w:val="24"/>
                <w:highlight w:val="none"/>
              </w:rPr>
            </w:pPr>
          </w:p>
          <w:p>
            <w:pPr>
              <w:keepNext w:val="0"/>
              <w:keepLines w:val="0"/>
              <w:suppressLineNumbers w:val="0"/>
              <w:spacing w:before="0" w:beforeAutospacing="0" w:after="0" w:afterAutospacing="0" w:line="360" w:lineRule="auto"/>
              <w:ind w:left="-65" w:leftChars="-31" w:right="0" w:firstLine="12" w:firstLineChars="5"/>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投标产品为</w:t>
            </w:r>
            <w:r>
              <w:rPr>
                <w:rFonts w:hint="eastAsia" w:ascii="宋体" w:hAnsi="宋体" w:eastAsia="宋体" w:cs="宋体"/>
                <w:b/>
                <w:color w:val="auto"/>
                <w:sz w:val="24"/>
                <w:szCs w:val="24"/>
                <w:highlight w:val="none"/>
              </w:rPr>
              <w:t>小型企业或微型企业生产</w:t>
            </w:r>
            <w:r>
              <w:rPr>
                <w:rFonts w:hint="eastAsia" w:ascii="宋体" w:hAnsi="宋体" w:eastAsia="宋体" w:cs="宋体"/>
                <w:b/>
                <w:color w:val="auto"/>
                <w:spacing w:val="-4"/>
                <w:sz w:val="24"/>
                <w:szCs w:val="24"/>
                <w:highlight w:val="none"/>
              </w:rPr>
              <w:t>：</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投标人提供的货物既有中型企业制造，也有小微企业制造的，不享受办法规定的小微企业扶持政策。</w:t>
            </w:r>
          </w:p>
          <w:p>
            <w:pPr>
              <w:pStyle w:val="5"/>
              <w:keepNext w:val="0"/>
              <w:keepLines w:val="0"/>
              <w:suppressLineNumbers w:val="0"/>
              <w:spacing w:before="0" w:beforeAutospacing="0" w:after="0" w:afterAutospacing="0" w:line="360" w:lineRule="auto"/>
              <w:ind w:left="0" w:right="0" w:firstLine="480" w:firstLineChars="200"/>
              <w:rPr>
                <w:rFonts w:hint="eastAsia" w:hAnsi="宋体" w:eastAsia="宋体" w:cs="宋体"/>
                <w:color w:val="auto"/>
                <w:sz w:val="24"/>
                <w:szCs w:val="24"/>
                <w:highlight w:val="none"/>
              </w:rPr>
            </w:pPr>
            <w:r>
              <w:rPr>
                <w:rFonts w:hint="eastAsia" w:hAnsi="宋体" w:eastAsia="宋体" w:cs="宋体"/>
                <w:color w:val="auto"/>
                <w:sz w:val="24"/>
                <w:szCs w:val="24"/>
                <w:highlight w:val="none"/>
              </w:rPr>
              <w:t>对其提供的小型或微型企业产品的投标报价给予20%的扣除，扣除后的价格作为该投标人的评标价参与价格评分。</w:t>
            </w:r>
          </w:p>
          <w:p>
            <w:pPr>
              <w:pStyle w:val="5"/>
              <w:keepNext w:val="0"/>
              <w:keepLines w:val="0"/>
              <w:suppressLineNumbers w:val="0"/>
              <w:spacing w:before="0" w:beforeAutospacing="0" w:after="0" w:afterAutospacing="0" w:line="360" w:lineRule="auto"/>
              <w:ind w:left="0" w:right="0" w:firstLine="480" w:firstLineChars="200"/>
              <w:rPr>
                <w:rFonts w:hint="eastAsia" w:hAnsi="宋体" w:eastAsia="宋体" w:cs="宋体"/>
                <w:color w:val="auto"/>
                <w:sz w:val="24"/>
                <w:szCs w:val="24"/>
                <w:highlight w:val="none"/>
              </w:rPr>
            </w:pPr>
            <w:r>
              <w:rPr>
                <w:rFonts w:hint="eastAsia" w:hAnsi="宋体" w:eastAsia="宋体" w:cs="宋体"/>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w:t>
            </w:r>
            <w:r>
              <w:rPr>
                <w:rFonts w:hint="eastAsia" w:hAnsi="宋体" w:cs="宋体"/>
                <w:color w:val="auto"/>
                <w:sz w:val="24"/>
                <w:szCs w:val="24"/>
                <w:highlight w:val="none"/>
                <w:lang w:eastAsia="zh-CN"/>
              </w:rPr>
              <w:t>采购单位</w:t>
            </w:r>
            <w:r>
              <w:rPr>
                <w:rFonts w:hint="eastAsia" w:hAnsi="宋体" w:eastAsia="宋体" w:cs="宋体"/>
                <w:color w:val="auto"/>
                <w:sz w:val="24"/>
                <w:szCs w:val="24"/>
                <w:highlight w:val="none"/>
              </w:rPr>
              <w:t>、采购代理机构应当对联合体或者大中型企业的报价给予6%的扣除，用扣除后的价格参加评审。</w:t>
            </w:r>
          </w:p>
          <w:p>
            <w:pPr>
              <w:pStyle w:val="5"/>
              <w:keepNext w:val="0"/>
              <w:keepLines w:val="0"/>
              <w:suppressLineNumbers w:val="0"/>
              <w:spacing w:before="0" w:beforeAutospacing="0" w:after="0" w:afterAutospacing="0" w:line="360" w:lineRule="auto"/>
              <w:ind w:left="0" w:right="0" w:firstLine="480" w:firstLineChars="200"/>
              <w:rPr>
                <w:rFonts w:hint="eastAsia" w:hAnsi="宋体" w:eastAsia="宋体" w:cs="宋体"/>
                <w:color w:val="auto"/>
                <w:sz w:val="24"/>
                <w:szCs w:val="24"/>
                <w:highlight w:val="none"/>
              </w:rPr>
            </w:pPr>
            <w:r>
              <w:rPr>
                <w:rFonts w:hint="eastAsia" w:hAnsi="宋体" w:eastAsia="宋体" w:cs="宋体"/>
                <w:color w:val="auto"/>
                <w:sz w:val="24"/>
                <w:szCs w:val="24"/>
                <w:highlight w:val="none"/>
              </w:rPr>
              <w:t>联合体各方均为小型、微型企业的，联合体视同为小型、微型企业。按照《财政部 司法部关于政府采购支持监狱企业发展有关问题的通知》（财库〔2014〕68号）有关规定，监狱企业视同小型、微型企业。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noWrap w:val="0"/>
            <w:vAlign w:val="center"/>
          </w:tcPr>
          <w:p>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dstrike/>
                <w:color w:val="auto"/>
                <w:sz w:val="24"/>
                <w:szCs w:val="24"/>
                <w:highlight w:val="none"/>
              </w:rPr>
            </w:pPr>
            <w:r>
              <w:rPr>
                <w:rFonts w:hint="eastAsia" w:ascii="宋体" w:hAnsi="宋体" w:eastAsia="宋体" w:cs="宋体"/>
                <w:b/>
                <w:color w:val="auto"/>
                <w:sz w:val="24"/>
                <w:szCs w:val="24"/>
                <w:highlight w:val="none"/>
              </w:rPr>
              <w:t>4</w:t>
            </w:r>
          </w:p>
        </w:tc>
        <w:tc>
          <w:tcPr>
            <w:tcW w:w="1677" w:type="dxa"/>
            <w:noWrap w:val="0"/>
            <w:vAlign w:val="center"/>
          </w:tcPr>
          <w:p>
            <w:pPr>
              <w:pStyle w:val="11"/>
              <w:keepNext w:val="0"/>
              <w:keepLines w:val="0"/>
              <w:suppressLineNumbers w:val="0"/>
              <w:spacing w:before="0" w:beforeAutospacing="0" w:after="0" w:afterAutospacing="0" w:line="360" w:lineRule="auto"/>
              <w:ind w:left="0" w:right="0"/>
              <w:rPr>
                <w:rFonts w:hint="eastAsia" w:eastAsia="宋体"/>
                <w:color w:val="auto"/>
                <w:sz w:val="24"/>
                <w:szCs w:val="24"/>
                <w:highlight w:val="none"/>
              </w:rPr>
            </w:pPr>
            <w:r>
              <w:rPr>
                <w:rFonts w:hint="eastAsia" w:eastAsia="宋体"/>
                <w:color w:val="auto"/>
                <w:sz w:val="24"/>
                <w:szCs w:val="24"/>
                <w:highlight w:val="none"/>
              </w:rPr>
              <w:t>本项目对应的中小企业划分标准所属</w:t>
            </w:r>
            <w:r>
              <w:rPr>
                <w:rFonts w:hint="eastAsia"/>
                <w:color w:val="auto"/>
                <w:sz w:val="24"/>
                <w:szCs w:val="24"/>
                <w:highlight w:val="none"/>
                <w:u w:val="single"/>
                <w:lang w:val="en-US" w:eastAsia="zh-CN"/>
              </w:rPr>
              <w:t>工业</w:t>
            </w:r>
            <w:r>
              <w:rPr>
                <w:rFonts w:hint="eastAsia" w:eastAsia="宋体"/>
                <w:color w:val="auto"/>
                <w:sz w:val="24"/>
                <w:szCs w:val="24"/>
                <w:highlight w:val="none"/>
                <w:u w:val="single"/>
              </w:rPr>
              <w:t xml:space="preserve">  行业。</w:t>
            </w:r>
          </w:p>
        </w:tc>
        <w:tc>
          <w:tcPr>
            <w:tcW w:w="6063" w:type="dxa"/>
            <w:tcBorders>
              <w:bottom w:val="single" w:color="auto" w:sz="4" w:space="0"/>
            </w:tcBorders>
            <w:noWrap w:val="0"/>
            <w:vAlign w:val="top"/>
          </w:tcPr>
          <w:p>
            <w:pPr>
              <w:keepNext w:val="0"/>
              <w:keepLines w:val="0"/>
              <w:suppressLineNumbers w:val="0"/>
              <w:spacing w:before="0" w:beforeAutospacing="0" w:after="0" w:afterAutospacing="0" w:line="360" w:lineRule="auto"/>
              <w:ind w:left="0" w:right="0"/>
              <w:rPr>
                <w:rFonts w:hint="eastAsia" w:ascii="宋体" w:hAnsi="宋体" w:eastAsia="宋体" w:cs="宋体"/>
                <w:dstrike/>
                <w:color w:val="auto"/>
                <w:sz w:val="24"/>
                <w:szCs w:val="24"/>
                <w:highlight w:val="none"/>
                <w:u w:val="single"/>
              </w:rPr>
            </w:pPr>
            <w:r>
              <w:rPr>
                <w:rFonts w:hint="eastAsia" w:ascii="宋体" w:hAnsi="宋体" w:eastAsia="宋体" w:cs="宋体"/>
                <w:color w:val="auto"/>
                <w:sz w:val="24"/>
                <w:szCs w:val="24"/>
                <w:highlight w:val="none"/>
              </w:rPr>
              <w:t>现行中小企业划分标准行业包括农、林、牧、渔业，工业，建筑业，批发业，零售业，交通运输业，仓储业，邮政业，住宿业，餐饮业，信息传输业，软件和信息技术服务业，房地产开发经营，物业管理，</w:t>
            </w:r>
            <w:r>
              <w:rPr>
                <w:rFonts w:hint="eastAsia" w:ascii="宋体" w:hAnsi="宋体" w:cs="宋体"/>
                <w:color w:val="auto"/>
                <w:sz w:val="24"/>
                <w:szCs w:val="24"/>
                <w:highlight w:val="none"/>
                <w:lang w:eastAsia="zh-CN"/>
              </w:rPr>
              <w:t>租赁和商务服务业</w:t>
            </w:r>
            <w:r>
              <w:rPr>
                <w:rFonts w:hint="eastAsia" w:ascii="宋体" w:hAnsi="宋体" w:eastAsia="宋体" w:cs="宋体"/>
                <w:color w:val="auto"/>
                <w:sz w:val="24"/>
                <w:szCs w:val="24"/>
                <w:highlight w:val="none"/>
              </w:rPr>
              <w:t>和其他未列明行业等十六类。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noWrap w:val="0"/>
            <w:vAlign w:val="center"/>
          </w:tcPr>
          <w:p>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w:t>
            </w:r>
          </w:p>
        </w:tc>
        <w:tc>
          <w:tcPr>
            <w:tcW w:w="1677" w:type="dxa"/>
            <w:noWrap w:val="0"/>
            <w:vAlign w:val="center"/>
          </w:tcPr>
          <w:p>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相关风险</w:t>
            </w:r>
          </w:p>
        </w:tc>
        <w:tc>
          <w:tcPr>
            <w:tcW w:w="6063" w:type="dxa"/>
            <w:tcBorders>
              <w:bottom w:val="single" w:color="auto" w:sz="4" w:space="0"/>
            </w:tcBorders>
            <w:noWrap w:val="0"/>
            <w:vAlign w:val="top"/>
          </w:tcPr>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一、经评标委员会评审，存在下列任一情况的，投标人将不被视为中小企业：</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1.投标人不符合“工信部联企业[2011]300号”规定的中小企业标准的；</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2.投标货物全部或部分为使用大型企业注册商标的货物的；</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3.投标文件中标明的中小企业产品的制造商不符合“工信部联企业[2011]300号”规定的中小企业标准的；</w:t>
            </w:r>
          </w:p>
          <w:p>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二、提供虚假声明后果：</w:t>
            </w:r>
          </w:p>
          <w:p>
            <w:pPr>
              <w:keepNext w:val="0"/>
              <w:keepLines w:val="0"/>
              <w:widowControl/>
              <w:suppressLineNumbers w:val="0"/>
              <w:spacing w:before="0" w:beforeAutospacing="0" w:after="0" w:afterAutospacing="0" w:line="360" w:lineRule="auto"/>
              <w:ind w:left="0" w:right="0"/>
              <w:rPr>
                <w:rFonts w:hint="eastAsia" w:ascii="宋体" w:hAnsi="宋体" w:eastAsia="宋体" w:cs="宋体"/>
                <w:b/>
                <w:i/>
                <w:color w:val="auto"/>
                <w:kern w:val="0"/>
                <w:sz w:val="24"/>
                <w:szCs w:val="24"/>
                <w:highlight w:val="none"/>
                <w:u w:val="single"/>
              </w:rPr>
            </w:pPr>
            <w:r>
              <w:rPr>
                <w:rFonts w:hint="eastAsia" w:ascii="宋体" w:hAnsi="宋体" w:eastAsia="宋体" w:cs="宋体"/>
                <w:color w:val="auto"/>
                <w:kern w:val="0"/>
                <w:sz w:val="24"/>
                <w:szCs w:val="24"/>
                <w:highlight w:val="none"/>
              </w:rPr>
              <w:t>投标人为取得中小企业身份而提供虚假声明，在评审过程中发现的，按无效投标处理，投标保证金不予退还；已取得中标资格的，无论该行为是否影响中标，均取消其中标资格，投标保证金、代理服务费不予退还，该投标人还应承担由此引起的其他经济、法律责任。出现此种情形时，</w:t>
            </w:r>
            <w:r>
              <w:rPr>
                <w:rFonts w:hint="eastAsia" w:ascii="宋体" w:hAnsi="宋体" w:cs="宋体"/>
                <w:color w:val="auto"/>
                <w:kern w:val="0"/>
                <w:sz w:val="24"/>
                <w:szCs w:val="24"/>
                <w:highlight w:val="none"/>
                <w:lang w:eastAsia="zh-CN"/>
              </w:rPr>
              <w:t>采购单位</w:t>
            </w:r>
            <w:r>
              <w:rPr>
                <w:rFonts w:hint="eastAsia" w:ascii="宋体" w:hAnsi="宋体" w:eastAsia="宋体" w:cs="宋体"/>
                <w:color w:val="auto"/>
                <w:kern w:val="0"/>
                <w:sz w:val="24"/>
                <w:szCs w:val="24"/>
                <w:highlight w:val="none"/>
              </w:rPr>
              <w:t>、招标代理机构将有关情况上报政府采购监管部门，由监管部门按有关规定对其进行相应处罚。</w:t>
            </w:r>
            <w:r>
              <w:rPr>
                <w:rFonts w:hint="eastAsia" w:ascii="宋体" w:hAnsi="宋体" w:cs="宋体"/>
                <w:color w:val="auto"/>
                <w:kern w:val="0"/>
                <w:sz w:val="24"/>
                <w:szCs w:val="24"/>
                <w:highlight w:val="none"/>
                <w:lang w:eastAsia="zh-CN"/>
              </w:rPr>
              <w:t>采购单位</w:t>
            </w:r>
            <w:r>
              <w:rPr>
                <w:rFonts w:hint="eastAsia" w:ascii="宋体" w:hAnsi="宋体" w:eastAsia="宋体" w:cs="宋体"/>
                <w:color w:val="auto"/>
                <w:kern w:val="0"/>
                <w:sz w:val="24"/>
                <w:szCs w:val="24"/>
                <w:highlight w:val="none"/>
              </w:rPr>
              <w:t>、招标代理机构</w:t>
            </w:r>
            <w:r>
              <w:rPr>
                <w:rFonts w:hint="eastAsia" w:ascii="宋体" w:hAnsi="宋体" w:eastAsia="宋体" w:cs="宋体"/>
                <w:color w:val="auto"/>
                <w:sz w:val="24"/>
                <w:szCs w:val="24"/>
                <w:highlight w:val="none"/>
              </w:rPr>
              <w:t>有权上报财政部门，建议财政部门将该投标人列入不良行为记录名单，在一至三年内禁止该投标人参加政府采购活动并予以通报。</w:t>
            </w:r>
            <w:r>
              <w:rPr>
                <w:rFonts w:hint="eastAsia" w:ascii="宋体" w:hAnsi="宋体" w:eastAsia="宋体" w:cs="宋体"/>
                <w:b/>
                <w:i/>
                <w:color w:val="auto"/>
                <w:kern w:val="0"/>
                <w:sz w:val="24"/>
                <w:szCs w:val="24"/>
                <w:highlight w:val="none"/>
                <w:u w:val="single"/>
              </w:rPr>
              <w:t>（提醒：如果投不满足中小企业的认定标准，则不需要提供《中小企业声明函》，否则因此导致虚假应标的后果由投标人自行承担。）</w:t>
            </w:r>
          </w:p>
        </w:tc>
      </w:tr>
    </w:tbl>
    <w:p>
      <w:pPr>
        <w:spacing w:line="360" w:lineRule="auto"/>
        <w:rPr>
          <w:rFonts w:hint="eastAsia" w:ascii="宋体" w:hAnsi="宋体" w:eastAsia="宋体" w:cs="宋体"/>
          <w:b/>
          <w:bCs/>
          <w:color w:val="auto"/>
          <w:sz w:val="24"/>
          <w:szCs w:val="24"/>
          <w:highlight w:val="none"/>
        </w:rPr>
        <w:sectPr>
          <w:footerReference r:id="rId7" w:type="default"/>
          <w:pgSz w:w="11907" w:h="16840"/>
          <w:pgMar w:top="1440" w:right="1752" w:bottom="1290" w:left="1752" w:header="851" w:footer="992" w:gutter="0"/>
          <w:pgBorders>
            <w:top w:val="none" w:sz="0" w:space="0"/>
            <w:left w:val="none" w:sz="0" w:space="0"/>
            <w:bottom w:val="none" w:sz="0" w:space="0"/>
            <w:right w:val="none" w:sz="0" w:space="0"/>
          </w:pgBorders>
          <w:pgNumType w:start="1"/>
          <w:cols w:space="720" w:num="1"/>
          <w:docGrid w:linePitch="323" w:charSpace="-2"/>
        </w:sectPr>
      </w:pPr>
    </w:p>
    <w:p>
      <w:pPr>
        <w:pStyle w:val="2"/>
        <w:snapToGrid w:val="0"/>
        <w:spacing w:line="360" w:lineRule="auto"/>
        <w:ind w:firstLine="0"/>
        <w:jc w:val="center"/>
        <w:rPr>
          <w:rFonts w:hint="eastAsia" w:ascii="宋体" w:hAnsi="宋体" w:eastAsia="宋体" w:cs="宋体"/>
          <w:b/>
          <w:bCs/>
          <w:color w:val="auto"/>
          <w:sz w:val="32"/>
          <w:szCs w:val="32"/>
          <w:highlight w:val="none"/>
        </w:rPr>
      </w:pPr>
      <w:r>
        <w:rPr>
          <w:rFonts w:hint="eastAsia" w:ascii="宋体" w:hAnsi="宋体" w:eastAsia="宋体" w:cs="宋体"/>
          <w:b/>
          <w:color w:val="auto"/>
          <w:sz w:val="32"/>
          <w:szCs w:val="32"/>
          <w:highlight w:val="none"/>
        </w:rPr>
        <w:t xml:space="preserve">第三章  </w:t>
      </w:r>
      <w:r>
        <w:rPr>
          <w:rFonts w:hint="eastAsia" w:ascii="宋体" w:hAnsi="宋体" w:eastAsia="宋体" w:cs="宋体"/>
          <w:b/>
          <w:bCs/>
          <w:color w:val="auto"/>
          <w:sz w:val="32"/>
          <w:szCs w:val="32"/>
          <w:highlight w:val="none"/>
        </w:rPr>
        <w:t>招标内容及要求</w:t>
      </w:r>
    </w:p>
    <w:p>
      <w:pPr>
        <w:pStyle w:val="6"/>
        <w:spacing w:after="0" w:line="360" w:lineRule="auto"/>
        <w:ind w:left="181" w:leftChars="86" w:right="-334" w:rightChars="-15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提示说明：</w:t>
      </w:r>
    </w:p>
    <w:p>
      <w:pPr>
        <w:pStyle w:val="6"/>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（1）全文中带有“*”的条款为关键性条款，对这些关键性条款的任何负偏离或不满足将导致该投标作无效投标处理。</w:t>
      </w:r>
      <w:r>
        <w:rPr>
          <w:rFonts w:hint="eastAsia" w:ascii="宋体" w:hAnsi="宋体" w:eastAsia="宋体" w:cs="宋体"/>
          <w:b/>
          <w:color w:val="auto"/>
          <w:sz w:val="24"/>
          <w:szCs w:val="24"/>
          <w:highlight w:val="none"/>
        </w:rPr>
        <w:t>投标人应对招标文件中的“*”号条款进行逐条响应，否则评标委员会对其投标做出不利评审，投标人必须自行承担责任。</w:t>
      </w:r>
    </w:p>
    <w:p>
      <w:pPr>
        <w:pStyle w:val="6"/>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（2）本项目以合同包为单位，对于每个合同包，投标人必须完整地提供合同包要求的所有货物和服务，否则该投标人针对该合同包的投标将按照无效投标处理。</w:t>
      </w:r>
    </w:p>
    <w:p>
      <w:pPr>
        <w:pStyle w:val="6"/>
        <w:spacing w:after="0" w:line="360" w:lineRule="auto"/>
        <w:ind w:left="0" w:right="-334" w:rightChars="-15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（3）若招标文件第三章所述内容与其它部分的条款发生理解冲突，则以第三章所述内容为准；如招标文件发生变更，则相关条款的解释以更改通知为准。</w:t>
      </w:r>
    </w:p>
    <w:p>
      <w:pPr>
        <w:pStyle w:val="6"/>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（4）经评标委员会认定要求澄清的证明文件必须在规定的时间内提供，否则其将不具有中标供应商的资格。</w:t>
      </w:r>
    </w:p>
    <w:p>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（5）资格性证明文件请单独成册。</w:t>
      </w:r>
    </w:p>
    <w:p>
      <w:pPr>
        <w:pStyle w:val="6"/>
        <w:spacing w:after="0" w:line="360" w:lineRule="auto"/>
        <w:ind w:left="0"/>
        <w:rPr>
          <w:rFonts w:hint="eastAsia" w:ascii="宋体" w:hAnsi="宋体" w:eastAsia="宋体" w:cs="宋体"/>
          <w:b/>
          <w:bCs/>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rPr>
          <w:rFonts w:hint="eastAsia" w:ascii="宋体" w:hAnsi="宋体" w:eastAsia="宋体" w:cs="宋体"/>
          <w:color w:val="auto"/>
          <w:sz w:val="24"/>
          <w:szCs w:val="24"/>
          <w:highlight w:val="none"/>
        </w:rPr>
      </w:pPr>
    </w:p>
    <w:p>
      <w:pPr>
        <w:tabs>
          <w:tab w:val="left" w:pos="5130"/>
        </w:tabs>
        <w:spacing w:line="360" w:lineRule="auto"/>
        <w:rPr>
          <w:rFonts w:hint="eastAsia" w:ascii="宋体" w:hAnsi="宋体" w:eastAsia="宋体" w:cs="宋体"/>
          <w:color w:val="auto"/>
          <w:sz w:val="24"/>
          <w:szCs w:val="24"/>
          <w:highlight w:val="none"/>
        </w:rPr>
      </w:pPr>
    </w:p>
    <w:p>
      <w:pPr>
        <w:tabs>
          <w:tab w:val="left" w:pos="5130"/>
        </w:tabs>
        <w:spacing w:line="360" w:lineRule="auto"/>
        <w:rPr>
          <w:rFonts w:hint="eastAsia" w:ascii="宋体" w:hAnsi="宋体" w:eastAsia="宋体" w:cs="宋体"/>
          <w:color w:val="auto"/>
          <w:sz w:val="24"/>
          <w:szCs w:val="24"/>
          <w:highlight w:val="none"/>
        </w:rPr>
      </w:pPr>
    </w:p>
    <w:p>
      <w:pPr>
        <w:tabs>
          <w:tab w:val="left" w:pos="5130"/>
        </w:tabs>
        <w:spacing w:line="360" w:lineRule="auto"/>
        <w:rPr>
          <w:rFonts w:hint="eastAsia" w:ascii="宋体" w:hAnsi="宋体" w:eastAsia="宋体" w:cs="宋体"/>
          <w:color w:val="auto"/>
          <w:sz w:val="24"/>
          <w:szCs w:val="24"/>
          <w:highlight w:val="none"/>
        </w:rPr>
      </w:pPr>
    </w:p>
    <w:p>
      <w:pPr>
        <w:spacing w:line="360" w:lineRule="auto"/>
        <w:ind w:right="28"/>
        <w:jc w:val="left"/>
        <w:rPr>
          <w:rFonts w:ascii="宋体" w:hAnsi="宋体" w:cs="Courier New"/>
          <w:color w:val="auto"/>
          <w:sz w:val="24"/>
          <w:szCs w:val="24"/>
          <w:highlight w:val="none"/>
        </w:rPr>
      </w:pPr>
      <w:r>
        <w:rPr>
          <w:rFonts w:hint="eastAsia" w:ascii="宋体" w:hAnsi="宋体" w:cs="Courier New"/>
          <w:b/>
          <w:color w:val="auto"/>
          <w:sz w:val="24"/>
          <w:szCs w:val="24"/>
          <w:highlight w:val="none"/>
        </w:rPr>
        <w:t>一、采购项目一览表</w:t>
      </w:r>
    </w:p>
    <w:p>
      <w:pPr>
        <w:tabs>
          <w:tab w:val="left" w:pos="5130"/>
        </w:tabs>
        <w:spacing w:line="360" w:lineRule="auto"/>
        <w:ind w:firstLine="482" w:firstLineChars="200"/>
        <w:rPr>
          <w:rFonts w:ascii="宋体" w:hAnsi="宋体" w:cs="Courier New"/>
          <w:b/>
          <w:color w:val="auto"/>
          <w:sz w:val="24"/>
          <w:szCs w:val="24"/>
          <w:highlight w:val="none"/>
        </w:rPr>
      </w:pPr>
      <w:r>
        <w:rPr>
          <w:rFonts w:hint="eastAsia" w:ascii="宋体" w:hAnsi="宋体" w:cs="Courier New"/>
          <w:b/>
          <w:color w:val="auto"/>
          <w:sz w:val="24"/>
          <w:szCs w:val="24"/>
          <w:highlight w:val="none"/>
        </w:rPr>
        <w:t>详见附件1：《采购清单》。</w:t>
      </w:r>
    </w:p>
    <w:p>
      <w:pPr>
        <w:tabs>
          <w:tab w:val="left" w:pos="5130"/>
        </w:tabs>
        <w:spacing w:line="360" w:lineRule="auto"/>
        <w:ind w:firstLine="480" w:firstLineChars="200"/>
        <w:rPr>
          <w:rFonts w:ascii="宋体" w:hAnsi="宋体" w:cs="Courier New"/>
          <w:b/>
          <w:color w:val="auto"/>
          <w:sz w:val="24"/>
          <w:szCs w:val="24"/>
          <w:highlight w:val="none"/>
        </w:rPr>
      </w:pPr>
      <w:r>
        <w:rPr>
          <w:rFonts w:hint="eastAsia" w:ascii="宋体" w:hAnsi="宋体"/>
          <w:color w:val="auto"/>
          <w:sz w:val="24"/>
          <w:szCs w:val="24"/>
          <w:highlight w:val="none"/>
        </w:rPr>
        <w:t>采购清单中所描述产品的规格尺寸，没有幅度要求的，允许正负偏离1%以内。</w:t>
      </w:r>
    </w:p>
    <w:p>
      <w:pPr>
        <w:spacing w:line="360" w:lineRule="auto"/>
        <w:ind w:right="28"/>
        <w:jc w:val="left"/>
        <w:rPr>
          <w:rFonts w:ascii="宋体" w:hAnsi="宋体"/>
          <w:b/>
          <w:color w:val="auto"/>
          <w:sz w:val="24"/>
          <w:szCs w:val="24"/>
          <w:highlight w:val="none"/>
        </w:rPr>
      </w:pPr>
      <w:r>
        <w:rPr>
          <w:rFonts w:ascii="宋体" w:hAnsi="宋体"/>
          <w:b/>
          <w:color w:val="auto"/>
          <w:sz w:val="24"/>
          <w:szCs w:val="24"/>
          <w:highlight w:val="none"/>
        </w:rPr>
        <w:t>二、</w:t>
      </w:r>
      <w:r>
        <w:rPr>
          <w:rFonts w:hint="eastAsia" w:ascii="宋体" w:hAnsi="宋体"/>
          <w:b/>
          <w:color w:val="auto"/>
          <w:sz w:val="24"/>
          <w:szCs w:val="24"/>
          <w:highlight w:val="none"/>
        </w:rPr>
        <w:t>采购要求</w:t>
      </w:r>
    </w:p>
    <w:p>
      <w:pPr>
        <w:spacing w:line="360" w:lineRule="auto"/>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1．中标供应商生产前提供具体图纸供使用单位确认方可生产，价格不得调整。</w:t>
      </w:r>
    </w:p>
    <w:p>
      <w:pPr>
        <w:spacing w:line="360" w:lineRule="auto"/>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2．投标人应严格按照招标文件的规格、数量、技术及材质等要求进行报价。</w:t>
      </w:r>
    </w:p>
    <w:p>
      <w:pPr>
        <w:spacing w:line="360" w:lineRule="auto"/>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3．投标人应在投标文件中提供主要生产设备清单（需提供主要生产加工设备、产地、数量、价值）。</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4．投标人应在投标文件中提供质量管理、技术力量说明（主要生产技术骨干、质管人员的数量和职称）。</w:t>
      </w:r>
    </w:p>
    <w:p>
      <w:pPr>
        <w:pStyle w:val="11"/>
        <w:spacing w:before="0" w:beforeAutospacing="0" w:after="0" w:afterAutospacing="0" w:line="360" w:lineRule="auto"/>
        <w:ind w:firstLine="480" w:firstLineChars="200"/>
        <w:rPr>
          <w:rFonts w:cs="Times New Roman"/>
          <w:color w:val="auto"/>
          <w:kern w:val="2"/>
          <w:highlight w:val="none"/>
        </w:rPr>
      </w:pPr>
      <w:r>
        <w:rPr>
          <w:rFonts w:hint="eastAsia" w:cs="Times New Roman"/>
          <w:color w:val="auto"/>
          <w:kern w:val="2"/>
          <w:highlight w:val="none"/>
        </w:rPr>
        <w:t>5．投标人应根据国家标准(GB/T3324-2008木家具通用技术条件、GB/T3325-2008金属家具通用技术条件、GB 18584-2008木家具中有害物质限量、GB18583—2008 胶粘剂（溶剂型）中有害物质限量、GB18580—2001 人造板及其制品中甲醛释放限量、GB18581—2009 溶剂型木器涂料中有害物质限量、GB18582—2008 内墙涂料中有害物质限量、GB5296.6—2008 消费品使用说明（第6 部分家具）)、部颁标准(QB/T1951.1-2010 木家具、QB/T1951.2-2013 金属家具、QB/T1952.1-2012 软体家具沙发、QB/T2530-2011 木制柜）、人造木质板材执行标准：HBC17－2003、家具执行标准：HJ/T3030-2006、水性涂料执行标准：HJ/T 201─2005、胶粘剂执行标准：HJ/T 220-2005、其他国家及行业标准制作（上述标准若有更新，则以更新后的国家和部门标准执行），并在设计方案中详细说明家具的材料构成及辅材、配件(如材质、质量标准、厚度、产地、品牌、型号等)。</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6．投标人需在投标文件中提供上述货物的实物图、效果图、生产分解图、货物选用材料的说明文件。</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7．投标人需将以上货物的参考指标与所投货物的技术指标、参数，在投标文件中分别列出，一一对应。</w:t>
      </w:r>
    </w:p>
    <w:p>
      <w:pPr>
        <w:spacing w:line="360" w:lineRule="auto"/>
        <w:ind w:firstLine="482" w:firstLineChars="200"/>
        <w:rPr>
          <w:rFonts w:ascii="宋体" w:hAnsi="宋体" w:cs="宋体"/>
          <w:b/>
          <w:color w:val="auto"/>
          <w:sz w:val="24"/>
          <w:szCs w:val="24"/>
          <w:highlight w:val="none"/>
        </w:rPr>
      </w:pPr>
      <w:r>
        <w:rPr>
          <w:rFonts w:hint="eastAsia" w:ascii="宋体" w:hAnsi="宋体" w:cs="宋体"/>
          <w:b/>
          <w:bCs/>
          <w:color w:val="auto"/>
          <w:sz w:val="24"/>
          <w:szCs w:val="24"/>
          <w:highlight w:val="none"/>
        </w:rPr>
        <w:t>*8.投标人在递交投标文件时应提供以下样品</w:t>
      </w:r>
      <w:r>
        <w:rPr>
          <w:rFonts w:hint="eastAsia" w:ascii="宋体" w:hAnsi="宋体" w:cs="宋体"/>
          <w:b/>
          <w:color w:val="auto"/>
          <w:sz w:val="24"/>
          <w:szCs w:val="24"/>
          <w:highlight w:val="none"/>
        </w:rPr>
        <w:t>，提供的样品不符合招标内容要求的参数尺寸、结构、外观造型、材质或提供样品不齐全的（不接受3D打印小样），按无效投标处理。产品中有尺寸要求但未明确尺寸偏离值的，均要求其尺寸的偏离值不超过1%（除有明确尺寸偏离值外）：</w:t>
      </w:r>
    </w:p>
    <w:p>
      <w:pPr>
        <w:widowControl/>
        <w:spacing w:line="360" w:lineRule="auto"/>
        <w:ind w:firstLine="482"/>
        <w:jc w:val="left"/>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t xml:space="preserve"> </w:t>
      </w:r>
    </w:p>
    <w:tbl>
      <w:tblPr>
        <w:tblStyle w:val="15"/>
        <w:tblpPr w:leftFromText="180" w:rightFromText="180" w:vertAnchor="text" w:horzAnchor="page" w:tblpX="1782" w:tblpY="310"/>
        <w:tblOverlap w:val="never"/>
        <w:tblW w:w="86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1069"/>
        <w:gridCol w:w="780"/>
        <w:gridCol w:w="6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blHeader/>
        </w:trPr>
        <w:tc>
          <w:tcPr>
            <w:tcW w:w="673" w:type="dxa"/>
            <w:noWrap w:val="0"/>
            <w:vAlign w:val="top"/>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eastAsia"/>
                <w:color w:val="auto"/>
                <w:highlight w:val="none"/>
                <w:vertAlign w:val="baseline"/>
                <w:lang w:val="en-US" w:eastAsia="zh-CN"/>
              </w:rPr>
              <w:t>序号</w:t>
            </w:r>
          </w:p>
        </w:tc>
        <w:tc>
          <w:tcPr>
            <w:tcW w:w="1069" w:type="dxa"/>
            <w:noWrap w:val="0"/>
            <w:vAlign w:val="top"/>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eastAsia"/>
                <w:color w:val="auto"/>
                <w:highlight w:val="none"/>
                <w:vertAlign w:val="baseline"/>
                <w:lang w:val="en-US" w:eastAsia="zh-CN"/>
              </w:rPr>
              <w:t>名称</w:t>
            </w:r>
          </w:p>
        </w:tc>
        <w:tc>
          <w:tcPr>
            <w:tcW w:w="780" w:type="dxa"/>
            <w:noWrap w:val="0"/>
            <w:vAlign w:val="top"/>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eastAsia"/>
                <w:color w:val="auto"/>
                <w:highlight w:val="none"/>
                <w:vertAlign w:val="baseline"/>
                <w:lang w:val="en-US" w:eastAsia="zh-CN"/>
              </w:rPr>
              <w:t>数量</w:t>
            </w:r>
          </w:p>
        </w:tc>
        <w:tc>
          <w:tcPr>
            <w:tcW w:w="6143" w:type="dxa"/>
            <w:noWrap w:val="0"/>
            <w:vAlign w:val="top"/>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eastAsia"/>
                <w:color w:val="auto"/>
                <w:highlight w:val="none"/>
                <w:vertAlign w:val="baseline"/>
                <w:lang w:val="en-US" w:eastAsia="zh-CN"/>
              </w:rPr>
              <w:t>样品示意图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673"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eastAsia"/>
                <w:color w:val="auto"/>
                <w:highlight w:val="none"/>
                <w:vertAlign w:val="baseline"/>
                <w:lang w:val="en-US" w:eastAsia="zh-CN"/>
              </w:rPr>
              <w:t>1</w:t>
            </w:r>
          </w:p>
        </w:tc>
        <w:tc>
          <w:tcPr>
            <w:tcW w:w="1069"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eastAsia"/>
                <w:color w:val="auto"/>
                <w:highlight w:val="none"/>
                <w:vertAlign w:val="baseline"/>
                <w:lang w:val="en-US" w:eastAsia="zh-CN"/>
              </w:rPr>
              <w:t>升降课桌椅</w:t>
            </w:r>
          </w:p>
        </w:tc>
        <w:tc>
          <w:tcPr>
            <w:tcW w:w="780"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eastAsia"/>
                <w:color w:val="auto"/>
                <w:highlight w:val="none"/>
                <w:vertAlign w:val="baseline"/>
                <w:lang w:val="en-US" w:eastAsia="zh-CN"/>
              </w:rPr>
              <w:t>1套</w:t>
            </w:r>
          </w:p>
        </w:tc>
        <w:tc>
          <w:tcPr>
            <w:tcW w:w="6143"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default"/>
                <w:color w:val="auto"/>
                <w:highlight w:val="none"/>
              </w:rPr>
              <w:drawing>
                <wp:anchor distT="0" distB="0" distL="114300" distR="114300" simplePos="0" relativeHeight="251672576" behindDoc="1" locked="0" layoutInCell="1" allowOverlap="1">
                  <wp:simplePos x="0" y="0"/>
                  <wp:positionH relativeFrom="column">
                    <wp:posOffset>1256665</wp:posOffset>
                  </wp:positionH>
                  <wp:positionV relativeFrom="paragraph">
                    <wp:posOffset>92710</wp:posOffset>
                  </wp:positionV>
                  <wp:extent cx="1068070" cy="1041400"/>
                  <wp:effectExtent l="0" t="0" r="17780" b="6350"/>
                  <wp:wrapTight wrapText="bothSides">
                    <wp:wrapPolygon>
                      <wp:start x="0" y="0"/>
                      <wp:lineTo x="0" y="21337"/>
                      <wp:lineTo x="21189" y="21337"/>
                      <wp:lineTo x="21189" y="0"/>
                      <wp:lineTo x="0" y="0"/>
                    </wp:wrapPolygon>
                  </wp:wrapTight>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12"/>
                          <a:stretch>
                            <a:fillRect/>
                          </a:stretch>
                        </pic:blipFill>
                        <pic:spPr>
                          <a:xfrm>
                            <a:off x="0" y="0"/>
                            <a:ext cx="1068070" cy="1041400"/>
                          </a:xfrm>
                          <a:prstGeom prst="rect">
                            <a:avLst/>
                          </a:prstGeom>
                          <a:noFill/>
                          <a:ln>
                            <a:noFill/>
                          </a:ln>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3" w:hRule="atLeast"/>
        </w:trPr>
        <w:tc>
          <w:tcPr>
            <w:tcW w:w="673" w:type="dxa"/>
            <w:noWrap w:val="0"/>
            <w:vAlign w:val="center"/>
          </w:tcPr>
          <w:p>
            <w:pPr>
              <w:keepNext w:val="0"/>
              <w:keepLines w:val="0"/>
              <w:suppressLineNumbers w:val="0"/>
              <w:spacing w:before="0" w:beforeAutospacing="0" w:after="0" w:afterAutospacing="0"/>
              <w:ind w:left="0" w:right="0"/>
              <w:jc w:val="center"/>
              <w:rPr>
                <w:rFonts w:hint="eastAsia"/>
                <w:color w:val="auto"/>
                <w:highlight w:val="none"/>
                <w:vertAlign w:val="baseline"/>
                <w:lang w:val="en-US" w:eastAsia="zh-CN"/>
              </w:rPr>
            </w:pPr>
            <w:r>
              <w:rPr>
                <w:rFonts w:hint="eastAsia"/>
                <w:color w:val="auto"/>
                <w:highlight w:val="none"/>
                <w:vertAlign w:val="baseline"/>
                <w:lang w:val="en-US" w:eastAsia="zh-CN"/>
              </w:rPr>
              <w:t>2</w:t>
            </w:r>
          </w:p>
        </w:tc>
        <w:tc>
          <w:tcPr>
            <w:tcW w:w="1069"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default"/>
                <w:color w:val="auto"/>
                <w:highlight w:val="none"/>
                <w:vertAlign w:val="baseline"/>
                <w:lang w:val="en-US" w:eastAsia="zh-CN"/>
              </w:rPr>
              <w:t>看班桌</w:t>
            </w:r>
          </w:p>
        </w:tc>
        <w:tc>
          <w:tcPr>
            <w:tcW w:w="780"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eastAsia"/>
                <w:color w:val="auto"/>
                <w:highlight w:val="none"/>
                <w:vertAlign w:val="baseline"/>
                <w:lang w:val="en-US" w:eastAsia="zh-CN"/>
              </w:rPr>
              <w:t>1张</w:t>
            </w:r>
          </w:p>
        </w:tc>
        <w:tc>
          <w:tcPr>
            <w:tcW w:w="6143"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default"/>
                <w:color w:val="auto"/>
                <w:highlight w:val="none"/>
              </w:rPr>
              <w:drawing>
                <wp:anchor distT="0" distB="0" distL="114300" distR="114300" simplePos="0" relativeHeight="251671552" behindDoc="1" locked="0" layoutInCell="1" allowOverlap="1">
                  <wp:simplePos x="0" y="0"/>
                  <wp:positionH relativeFrom="column">
                    <wp:posOffset>1231265</wp:posOffset>
                  </wp:positionH>
                  <wp:positionV relativeFrom="paragraph">
                    <wp:posOffset>122555</wp:posOffset>
                  </wp:positionV>
                  <wp:extent cx="1131570" cy="1089660"/>
                  <wp:effectExtent l="0" t="0" r="11430" b="15240"/>
                  <wp:wrapTight wrapText="bothSides">
                    <wp:wrapPolygon>
                      <wp:start x="0" y="0"/>
                      <wp:lineTo x="0" y="21147"/>
                      <wp:lineTo x="21091" y="21147"/>
                      <wp:lineTo x="21091" y="0"/>
                      <wp:lineTo x="0" y="0"/>
                    </wp:wrapPolygon>
                  </wp:wrapTight>
                  <wp:docPr id="8" name="图片 3"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descr="1(1)"/>
                          <pic:cNvPicPr>
                            <a:picLocks noChangeAspect="1"/>
                          </pic:cNvPicPr>
                        </pic:nvPicPr>
                        <pic:blipFill>
                          <a:blip r:embed="rId13"/>
                          <a:stretch>
                            <a:fillRect/>
                          </a:stretch>
                        </pic:blipFill>
                        <pic:spPr>
                          <a:xfrm>
                            <a:off x="0" y="0"/>
                            <a:ext cx="1131570" cy="1089660"/>
                          </a:xfrm>
                          <a:prstGeom prst="rect">
                            <a:avLst/>
                          </a:prstGeom>
                          <a:noFill/>
                          <a:ln>
                            <a:noFill/>
                          </a:ln>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3" w:hRule="atLeast"/>
        </w:trPr>
        <w:tc>
          <w:tcPr>
            <w:tcW w:w="673"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eastAsia"/>
                <w:color w:val="auto"/>
                <w:highlight w:val="none"/>
                <w:vertAlign w:val="baseline"/>
                <w:lang w:val="en-US" w:eastAsia="zh-CN"/>
              </w:rPr>
              <w:t>3</w:t>
            </w:r>
          </w:p>
        </w:tc>
        <w:tc>
          <w:tcPr>
            <w:tcW w:w="1069"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default"/>
                <w:color w:val="auto"/>
                <w:highlight w:val="none"/>
                <w:vertAlign w:val="baseline"/>
                <w:lang w:val="en-US" w:eastAsia="zh-CN"/>
              </w:rPr>
              <w:t>前挡板保护套</w:t>
            </w:r>
            <w:r>
              <w:rPr>
                <w:rFonts w:hint="eastAsia"/>
                <w:color w:val="auto"/>
                <w:highlight w:val="none"/>
                <w:vertAlign w:val="baseline"/>
                <w:lang w:val="en-US" w:eastAsia="zh-CN"/>
              </w:rPr>
              <w:t>小样</w:t>
            </w:r>
          </w:p>
        </w:tc>
        <w:tc>
          <w:tcPr>
            <w:tcW w:w="780"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eastAsia"/>
                <w:color w:val="auto"/>
                <w:highlight w:val="none"/>
                <w:vertAlign w:val="baseline"/>
                <w:lang w:val="en-US" w:eastAsia="zh-CN"/>
              </w:rPr>
              <w:t>1个</w:t>
            </w:r>
          </w:p>
        </w:tc>
        <w:tc>
          <w:tcPr>
            <w:tcW w:w="6143"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default"/>
                <w:color w:val="auto"/>
                <w:highlight w:val="none"/>
              </w:rPr>
              <w:drawing>
                <wp:anchor distT="0" distB="0" distL="114300" distR="114300" simplePos="0" relativeHeight="251660288" behindDoc="1" locked="0" layoutInCell="1" allowOverlap="1">
                  <wp:simplePos x="0" y="0"/>
                  <wp:positionH relativeFrom="column">
                    <wp:posOffset>314325</wp:posOffset>
                  </wp:positionH>
                  <wp:positionV relativeFrom="paragraph">
                    <wp:posOffset>184785</wp:posOffset>
                  </wp:positionV>
                  <wp:extent cx="1038225" cy="1421765"/>
                  <wp:effectExtent l="0" t="0" r="9525" b="6985"/>
                  <wp:wrapTight wrapText="bothSides">
                    <wp:wrapPolygon>
                      <wp:start x="0" y="0"/>
                      <wp:lineTo x="0" y="21417"/>
                      <wp:lineTo x="21402" y="21417"/>
                      <wp:lineTo x="21402" y="0"/>
                      <wp:lineTo x="0" y="0"/>
                    </wp:wrapPolygon>
                  </wp:wrapTight>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4"/>
                          <a:stretch>
                            <a:fillRect/>
                          </a:stretch>
                        </pic:blipFill>
                        <pic:spPr>
                          <a:xfrm>
                            <a:off x="0" y="0"/>
                            <a:ext cx="1038225" cy="1421765"/>
                          </a:xfrm>
                          <a:prstGeom prst="rect">
                            <a:avLst/>
                          </a:prstGeom>
                          <a:noFill/>
                          <a:ln>
                            <a:noFill/>
                          </a:ln>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7" w:hRule="atLeast"/>
        </w:trPr>
        <w:tc>
          <w:tcPr>
            <w:tcW w:w="673"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eastAsia"/>
                <w:color w:val="auto"/>
                <w:highlight w:val="none"/>
                <w:vertAlign w:val="baseline"/>
                <w:lang w:val="en-US" w:eastAsia="zh-CN"/>
              </w:rPr>
              <w:t>4</w:t>
            </w:r>
          </w:p>
        </w:tc>
        <w:tc>
          <w:tcPr>
            <w:tcW w:w="1069"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default"/>
                <w:color w:val="auto"/>
                <w:highlight w:val="none"/>
                <w:vertAlign w:val="baseline"/>
                <w:lang w:val="en-US" w:eastAsia="zh-CN"/>
              </w:rPr>
              <w:t>未打磨、未喷漆、带毛刺的铝合金站脚连接件裸样</w:t>
            </w:r>
          </w:p>
        </w:tc>
        <w:tc>
          <w:tcPr>
            <w:tcW w:w="780"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eastAsia"/>
                <w:color w:val="auto"/>
                <w:highlight w:val="none"/>
                <w:vertAlign w:val="baseline"/>
                <w:lang w:val="en-US" w:eastAsia="zh-CN"/>
              </w:rPr>
              <w:t>1个</w:t>
            </w:r>
          </w:p>
        </w:tc>
        <w:tc>
          <w:tcPr>
            <w:tcW w:w="6143"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default"/>
                <w:color w:val="auto"/>
                <w:highlight w:val="none"/>
              </w:rPr>
              <w:drawing>
                <wp:anchor distT="0" distB="0" distL="114300" distR="114300" simplePos="0" relativeHeight="251661312" behindDoc="1" locked="0" layoutInCell="1" allowOverlap="1">
                  <wp:simplePos x="0" y="0"/>
                  <wp:positionH relativeFrom="column">
                    <wp:posOffset>154305</wp:posOffset>
                  </wp:positionH>
                  <wp:positionV relativeFrom="paragraph">
                    <wp:posOffset>108585</wp:posOffset>
                  </wp:positionV>
                  <wp:extent cx="1263650" cy="2062480"/>
                  <wp:effectExtent l="0" t="0" r="12700" b="13970"/>
                  <wp:wrapTight wrapText="bothSides">
                    <wp:wrapPolygon>
                      <wp:start x="0" y="0"/>
                      <wp:lineTo x="0" y="21347"/>
                      <wp:lineTo x="21166" y="21347"/>
                      <wp:lineTo x="21166" y="0"/>
                      <wp:lineTo x="0" y="0"/>
                    </wp:wrapPolygon>
                  </wp:wrapTight>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15"/>
                          <a:stretch>
                            <a:fillRect/>
                          </a:stretch>
                        </pic:blipFill>
                        <pic:spPr>
                          <a:xfrm>
                            <a:off x="0" y="0"/>
                            <a:ext cx="1263650" cy="2062480"/>
                          </a:xfrm>
                          <a:prstGeom prst="rect">
                            <a:avLst/>
                          </a:prstGeom>
                          <a:noFill/>
                          <a:ln>
                            <a:noFill/>
                          </a:ln>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2" w:hRule="atLeast"/>
        </w:trPr>
        <w:tc>
          <w:tcPr>
            <w:tcW w:w="673"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eastAsia"/>
                <w:color w:val="auto"/>
                <w:highlight w:val="none"/>
                <w:vertAlign w:val="baseline"/>
                <w:lang w:val="en-US" w:eastAsia="zh-CN"/>
              </w:rPr>
              <w:t>5</w:t>
            </w:r>
          </w:p>
        </w:tc>
        <w:tc>
          <w:tcPr>
            <w:tcW w:w="1069"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default"/>
                <w:color w:val="auto"/>
                <w:highlight w:val="none"/>
                <w:vertAlign w:val="baseline"/>
                <w:lang w:val="en-US" w:eastAsia="zh-CN"/>
              </w:rPr>
              <w:t>侧封盖小样</w:t>
            </w:r>
          </w:p>
        </w:tc>
        <w:tc>
          <w:tcPr>
            <w:tcW w:w="780"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eastAsia"/>
                <w:color w:val="auto"/>
                <w:highlight w:val="none"/>
                <w:vertAlign w:val="baseline"/>
                <w:lang w:val="en-US" w:eastAsia="zh-CN"/>
              </w:rPr>
              <w:t>1个</w:t>
            </w:r>
          </w:p>
        </w:tc>
        <w:tc>
          <w:tcPr>
            <w:tcW w:w="6143"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default"/>
                <w:color w:val="auto"/>
                <w:highlight w:val="none"/>
              </w:rPr>
              <w:drawing>
                <wp:anchor distT="0" distB="0" distL="114300" distR="114300" simplePos="0" relativeHeight="251662336" behindDoc="1" locked="0" layoutInCell="1" allowOverlap="1">
                  <wp:simplePos x="0" y="0"/>
                  <wp:positionH relativeFrom="column">
                    <wp:posOffset>267335</wp:posOffset>
                  </wp:positionH>
                  <wp:positionV relativeFrom="paragraph">
                    <wp:posOffset>43180</wp:posOffset>
                  </wp:positionV>
                  <wp:extent cx="1096010" cy="1882775"/>
                  <wp:effectExtent l="0" t="0" r="8890" b="3175"/>
                  <wp:wrapTight wrapText="bothSides">
                    <wp:wrapPolygon>
                      <wp:start x="0" y="0"/>
                      <wp:lineTo x="0" y="21418"/>
                      <wp:lineTo x="21400" y="21418"/>
                      <wp:lineTo x="21400" y="0"/>
                      <wp:lineTo x="0" y="0"/>
                    </wp:wrapPolygon>
                  </wp:wrapTight>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a:stretch>
                            <a:fillRect/>
                          </a:stretch>
                        </pic:blipFill>
                        <pic:spPr>
                          <a:xfrm>
                            <a:off x="0" y="0"/>
                            <a:ext cx="1096010" cy="1882775"/>
                          </a:xfrm>
                          <a:prstGeom prst="rect">
                            <a:avLst/>
                          </a:prstGeom>
                          <a:noFill/>
                          <a:ln>
                            <a:noFill/>
                          </a:ln>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1" w:hRule="atLeast"/>
        </w:trPr>
        <w:tc>
          <w:tcPr>
            <w:tcW w:w="673"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eastAsia"/>
                <w:color w:val="auto"/>
                <w:highlight w:val="none"/>
                <w:vertAlign w:val="baseline"/>
                <w:lang w:val="en-US" w:eastAsia="zh-CN"/>
              </w:rPr>
              <w:t>6</w:t>
            </w:r>
          </w:p>
        </w:tc>
        <w:tc>
          <w:tcPr>
            <w:tcW w:w="1069"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eastAsia"/>
                <w:color w:val="auto"/>
                <w:highlight w:val="none"/>
                <w:vertAlign w:val="baseline"/>
                <w:lang w:val="en-US" w:eastAsia="zh-CN"/>
              </w:rPr>
              <w:t>看班椅</w:t>
            </w:r>
          </w:p>
        </w:tc>
        <w:tc>
          <w:tcPr>
            <w:tcW w:w="780"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eastAsia"/>
                <w:color w:val="auto"/>
                <w:highlight w:val="none"/>
                <w:vertAlign w:val="baseline"/>
                <w:lang w:val="en-US" w:eastAsia="zh-CN"/>
              </w:rPr>
              <w:t>1张</w:t>
            </w:r>
          </w:p>
        </w:tc>
        <w:tc>
          <w:tcPr>
            <w:tcW w:w="6143"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default"/>
                <w:color w:val="auto"/>
                <w:highlight w:val="none"/>
              </w:rPr>
              <w:drawing>
                <wp:anchor distT="0" distB="0" distL="114300" distR="114300" simplePos="0" relativeHeight="251659264" behindDoc="1" locked="0" layoutInCell="1" allowOverlap="1">
                  <wp:simplePos x="0" y="0"/>
                  <wp:positionH relativeFrom="column">
                    <wp:posOffset>1027430</wp:posOffset>
                  </wp:positionH>
                  <wp:positionV relativeFrom="paragraph">
                    <wp:posOffset>174625</wp:posOffset>
                  </wp:positionV>
                  <wp:extent cx="1193165" cy="1582420"/>
                  <wp:effectExtent l="0" t="0" r="6985" b="17780"/>
                  <wp:wrapTight wrapText="bothSides">
                    <wp:wrapPolygon>
                      <wp:start x="0" y="0"/>
                      <wp:lineTo x="0" y="21323"/>
                      <wp:lineTo x="21382" y="21323"/>
                      <wp:lineTo x="21382" y="0"/>
                      <wp:lineTo x="0" y="0"/>
                    </wp:wrapPolygon>
                  </wp:wrapTight>
                  <wp:docPr id="3" name="图片 7" descr="VQ@1$JN(ML7X]ZQG]S6GQ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descr="VQ@1$JN(ML7X]ZQG]S6GQBG"/>
                          <pic:cNvPicPr>
                            <a:picLocks noChangeAspect="1"/>
                          </pic:cNvPicPr>
                        </pic:nvPicPr>
                        <pic:blipFill>
                          <a:blip r:embed="rId17"/>
                          <a:stretch>
                            <a:fillRect/>
                          </a:stretch>
                        </pic:blipFill>
                        <pic:spPr>
                          <a:xfrm>
                            <a:off x="0" y="0"/>
                            <a:ext cx="1193165" cy="1582420"/>
                          </a:xfrm>
                          <a:prstGeom prst="rect">
                            <a:avLst/>
                          </a:prstGeom>
                          <a:noFill/>
                          <a:ln>
                            <a:noFill/>
                          </a:ln>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trPr>
        <w:tc>
          <w:tcPr>
            <w:tcW w:w="673"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eastAsia"/>
                <w:color w:val="auto"/>
                <w:highlight w:val="none"/>
                <w:vertAlign w:val="baseline"/>
                <w:lang w:val="en-US" w:eastAsia="zh-CN"/>
              </w:rPr>
              <w:t>7</w:t>
            </w:r>
          </w:p>
        </w:tc>
        <w:tc>
          <w:tcPr>
            <w:tcW w:w="1069"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default"/>
                <w:color w:val="auto"/>
                <w:highlight w:val="none"/>
                <w:vertAlign w:val="baseline"/>
                <w:lang w:val="en-US" w:eastAsia="zh-CN"/>
              </w:rPr>
              <w:t>椅背、定位肖、一个螺丝固定孔位（带进料口残留部分长度≥3mm）</w:t>
            </w:r>
          </w:p>
        </w:tc>
        <w:tc>
          <w:tcPr>
            <w:tcW w:w="780"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eastAsia"/>
                <w:color w:val="auto"/>
                <w:highlight w:val="none"/>
                <w:vertAlign w:val="baseline"/>
                <w:lang w:val="en-US" w:eastAsia="zh-CN"/>
              </w:rPr>
              <w:t>1个</w:t>
            </w:r>
          </w:p>
        </w:tc>
        <w:tc>
          <w:tcPr>
            <w:tcW w:w="6143"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default"/>
                <w:color w:val="auto"/>
                <w:highlight w:val="none"/>
              </w:rPr>
              <w:drawing>
                <wp:anchor distT="0" distB="0" distL="114300" distR="114300" simplePos="0" relativeHeight="251670528" behindDoc="1" locked="0" layoutInCell="1" allowOverlap="1">
                  <wp:simplePos x="0" y="0"/>
                  <wp:positionH relativeFrom="column">
                    <wp:posOffset>1497965</wp:posOffset>
                  </wp:positionH>
                  <wp:positionV relativeFrom="paragraph">
                    <wp:posOffset>323215</wp:posOffset>
                  </wp:positionV>
                  <wp:extent cx="1412875" cy="771525"/>
                  <wp:effectExtent l="0" t="0" r="15875" b="9525"/>
                  <wp:wrapTight wrapText="bothSides">
                    <wp:wrapPolygon>
                      <wp:start x="0" y="0"/>
                      <wp:lineTo x="0" y="21333"/>
                      <wp:lineTo x="21260" y="21333"/>
                      <wp:lineTo x="21260" y="0"/>
                      <wp:lineTo x="0" y="0"/>
                    </wp:wrapPolygon>
                  </wp:wrapTight>
                  <wp:docPr id="1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
                          <pic:cNvPicPr>
                            <a:picLocks noChangeAspect="1"/>
                          </pic:cNvPicPr>
                        </pic:nvPicPr>
                        <pic:blipFill>
                          <a:blip r:embed="rId18"/>
                          <a:stretch>
                            <a:fillRect/>
                          </a:stretch>
                        </pic:blipFill>
                        <pic:spPr>
                          <a:xfrm>
                            <a:off x="0" y="0"/>
                            <a:ext cx="1412875" cy="771525"/>
                          </a:xfrm>
                          <a:prstGeom prst="rect">
                            <a:avLst/>
                          </a:prstGeom>
                          <a:noFill/>
                          <a:ln>
                            <a:noFill/>
                          </a:ln>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0" w:hRule="atLeast"/>
        </w:trPr>
        <w:tc>
          <w:tcPr>
            <w:tcW w:w="673"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eastAsia"/>
                <w:color w:val="auto"/>
                <w:highlight w:val="none"/>
                <w:vertAlign w:val="baseline"/>
                <w:lang w:val="en-US" w:eastAsia="zh-CN"/>
              </w:rPr>
              <w:t>8</w:t>
            </w:r>
          </w:p>
        </w:tc>
        <w:tc>
          <w:tcPr>
            <w:tcW w:w="1069"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default"/>
                <w:color w:val="auto"/>
                <w:highlight w:val="none"/>
                <w:vertAlign w:val="baseline"/>
                <w:lang w:val="en-US" w:eastAsia="zh-CN"/>
              </w:rPr>
              <w:t>椅座、提手件（带进料口残留部分长度≥3mm）</w:t>
            </w:r>
          </w:p>
        </w:tc>
        <w:tc>
          <w:tcPr>
            <w:tcW w:w="780"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eastAsia"/>
                <w:color w:val="auto"/>
                <w:highlight w:val="none"/>
                <w:vertAlign w:val="baseline"/>
                <w:lang w:val="en-US" w:eastAsia="zh-CN"/>
              </w:rPr>
              <w:t>1个</w:t>
            </w:r>
          </w:p>
        </w:tc>
        <w:tc>
          <w:tcPr>
            <w:tcW w:w="6143"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default"/>
                <w:color w:val="auto"/>
                <w:highlight w:val="none"/>
              </w:rPr>
              <w:drawing>
                <wp:anchor distT="0" distB="0" distL="114300" distR="114300" simplePos="0" relativeHeight="251669504" behindDoc="1" locked="0" layoutInCell="1" allowOverlap="1">
                  <wp:simplePos x="0" y="0"/>
                  <wp:positionH relativeFrom="column">
                    <wp:posOffset>1328420</wp:posOffset>
                  </wp:positionH>
                  <wp:positionV relativeFrom="paragraph">
                    <wp:posOffset>320675</wp:posOffset>
                  </wp:positionV>
                  <wp:extent cx="1407795" cy="984250"/>
                  <wp:effectExtent l="0" t="0" r="1905" b="6350"/>
                  <wp:wrapTight wrapText="bothSides">
                    <wp:wrapPolygon>
                      <wp:start x="0" y="0"/>
                      <wp:lineTo x="0" y="21321"/>
                      <wp:lineTo x="21337" y="21321"/>
                      <wp:lineTo x="21337" y="0"/>
                      <wp:lineTo x="0" y="0"/>
                    </wp:wrapPolygon>
                  </wp:wrapTight>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pic:cNvPicPr>
                            <a:picLocks noChangeAspect="1"/>
                          </pic:cNvPicPr>
                        </pic:nvPicPr>
                        <pic:blipFill>
                          <a:blip r:embed="rId19"/>
                          <a:stretch>
                            <a:fillRect/>
                          </a:stretch>
                        </pic:blipFill>
                        <pic:spPr>
                          <a:xfrm>
                            <a:off x="0" y="0"/>
                            <a:ext cx="1407795" cy="984250"/>
                          </a:xfrm>
                          <a:prstGeom prst="rect">
                            <a:avLst/>
                          </a:prstGeom>
                          <a:noFill/>
                          <a:ln>
                            <a:noFill/>
                          </a:ln>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9" w:hRule="atLeast"/>
        </w:trPr>
        <w:tc>
          <w:tcPr>
            <w:tcW w:w="673"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eastAsia"/>
                <w:color w:val="auto"/>
                <w:highlight w:val="none"/>
                <w:vertAlign w:val="baseline"/>
                <w:lang w:val="en-US" w:eastAsia="zh-CN"/>
              </w:rPr>
              <w:t>9</w:t>
            </w:r>
          </w:p>
        </w:tc>
        <w:tc>
          <w:tcPr>
            <w:tcW w:w="1069"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default"/>
                <w:color w:val="auto"/>
                <w:highlight w:val="none"/>
                <w:vertAlign w:val="baseline"/>
                <w:lang w:val="en-US" w:eastAsia="zh-CN"/>
              </w:rPr>
              <w:t>储物盒</w:t>
            </w:r>
          </w:p>
        </w:tc>
        <w:tc>
          <w:tcPr>
            <w:tcW w:w="780"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eastAsia"/>
                <w:color w:val="auto"/>
                <w:highlight w:val="none"/>
                <w:vertAlign w:val="baseline"/>
                <w:lang w:val="en-US" w:eastAsia="zh-CN"/>
              </w:rPr>
              <w:t>1个</w:t>
            </w:r>
          </w:p>
        </w:tc>
        <w:tc>
          <w:tcPr>
            <w:tcW w:w="6143"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default"/>
                <w:color w:val="auto"/>
                <w:highlight w:val="none"/>
              </w:rPr>
              <w:drawing>
                <wp:anchor distT="0" distB="0" distL="114300" distR="114300" simplePos="0" relativeHeight="251663360" behindDoc="1" locked="0" layoutInCell="1" allowOverlap="1">
                  <wp:simplePos x="0" y="0"/>
                  <wp:positionH relativeFrom="column">
                    <wp:posOffset>926465</wp:posOffset>
                  </wp:positionH>
                  <wp:positionV relativeFrom="paragraph">
                    <wp:posOffset>125730</wp:posOffset>
                  </wp:positionV>
                  <wp:extent cx="2279015" cy="1244600"/>
                  <wp:effectExtent l="0" t="0" r="6985" b="12700"/>
                  <wp:wrapTight wrapText="bothSides">
                    <wp:wrapPolygon>
                      <wp:start x="0" y="0"/>
                      <wp:lineTo x="0" y="21159"/>
                      <wp:lineTo x="21486" y="21159"/>
                      <wp:lineTo x="21486" y="0"/>
                      <wp:lineTo x="0" y="0"/>
                    </wp:wrapPolygon>
                  </wp:wrapTight>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0"/>
                          <a:stretch>
                            <a:fillRect/>
                          </a:stretch>
                        </pic:blipFill>
                        <pic:spPr>
                          <a:xfrm>
                            <a:off x="0" y="0"/>
                            <a:ext cx="2279015" cy="1244600"/>
                          </a:xfrm>
                          <a:prstGeom prst="rect">
                            <a:avLst/>
                          </a:prstGeom>
                          <a:noFill/>
                          <a:ln>
                            <a:noFill/>
                          </a:ln>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5" w:hRule="atLeast"/>
        </w:trPr>
        <w:tc>
          <w:tcPr>
            <w:tcW w:w="673"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eastAsia"/>
                <w:color w:val="auto"/>
                <w:highlight w:val="none"/>
                <w:vertAlign w:val="baseline"/>
                <w:lang w:val="en-US" w:eastAsia="zh-CN"/>
              </w:rPr>
              <w:t>10</w:t>
            </w:r>
          </w:p>
        </w:tc>
        <w:tc>
          <w:tcPr>
            <w:tcW w:w="1069"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default"/>
                <w:color w:val="auto"/>
                <w:highlight w:val="none"/>
                <w:vertAlign w:val="baseline"/>
                <w:lang w:val="en-US" w:eastAsia="zh-CN"/>
              </w:rPr>
              <w:t>未打磨、喷漆、带毛刺的</w:t>
            </w:r>
            <w:r>
              <w:rPr>
                <w:rFonts w:hint="default" w:ascii="宋体" w:hAnsi="宋体" w:eastAsia="宋体" w:cs="宋体"/>
                <w:color w:val="auto"/>
                <w:sz w:val="24"/>
                <w:szCs w:val="24"/>
                <w:highlight w:val="none"/>
              </w:rPr>
              <w:t>加固件</w:t>
            </w:r>
            <w:r>
              <w:rPr>
                <w:rFonts w:hint="default"/>
                <w:color w:val="auto"/>
                <w:highlight w:val="none"/>
                <w:vertAlign w:val="baseline"/>
                <w:lang w:val="en-US" w:eastAsia="zh-CN"/>
              </w:rPr>
              <w:t>小样</w:t>
            </w:r>
          </w:p>
        </w:tc>
        <w:tc>
          <w:tcPr>
            <w:tcW w:w="780" w:type="dxa"/>
            <w:noWrap w:val="0"/>
            <w:vAlign w:val="center"/>
          </w:tcPr>
          <w:p>
            <w:pPr>
              <w:keepNext w:val="0"/>
              <w:keepLines w:val="0"/>
              <w:suppressLineNumbers w:val="0"/>
              <w:spacing w:before="0" w:beforeAutospacing="0" w:after="0" w:afterAutospacing="0"/>
              <w:ind w:left="0" w:right="0"/>
              <w:jc w:val="center"/>
              <w:rPr>
                <w:rFonts w:hint="eastAsia"/>
                <w:color w:val="auto"/>
                <w:highlight w:val="none"/>
                <w:vertAlign w:val="baseline"/>
                <w:lang w:val="en-US" w:eastAsia="zh-CN"/>
              </w:rPr>
            </w:pPr>
            <w:r>
              <w:rPr>
                <w:rFonts w:hint="eastAsia"/>
                <w:color w:val="auto"/>
                <w:highlight w:val="none"/>
                <w:vertAlign w:val="baseline"/>
                <w:lang w:val="en-US" w:eastAsia="zh-CN"/>
              </w:rPr>
              <w:t>1个</w:t>
            </w:r>
          </w:p>
        </w:tc>
        <w:tc>
          <w:tcPr>
            <w:tcW w:w="6143"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default"/>
                <w:color w:val="auto"/>
                <w:highlight w:val="none"/>
              </w:rPr>
              <w:drawing>
                <wp:anchor distT="0" distB="0" distL="114300" distR="114300" simplePos="0" relativeHeight="251668480" behindDoc="1" locked="0" layoutInCell="1" allowOverlap="1">
                  <wp:simplePos x="0" y="0"/>
                  <wp:positionH relativeFrom="column">
                    <wp:posOffset>1753870</wp:posOffset>
                  </wp:positionH>
                  <wp:positionV relativeFrom="paragraph">
                    <wp:posOffset>111760</wp:posOffset>
                  </wp:positionV>
                  <wp:extent cx="746760" cy="1511935"/>
                  <wp:effectExtent l="0" t="0" r="15240" b="12065"/>
                  <wp:wrapTight wrapText="bothSides">
                    <wp:wrapPolygon>
                      <wp:start x="0" y="0"/>
                      <wp:lineTo x="0" y="21228"/>
                      <wp:lineTo x="20939" y="21228"/>
                      <wp:lineTo x="20939" y="0"/>
                      <wp:lineTo x="0" y="0"/>
                    </wp:wrapPolygon>
                  </wp:wrapTight>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21"/>
                          <a:stretch>
                            <a:fillRect/>
                          </a:stretch>
                        </pic:blipFill>
                        <pic:spPr>
                          <a:xfrm>
                            <a:off x="0" y="0"/>
                            <a:ext cx="746760" cy="1511935"/>
                          </a:xfrm>
                          <a:prstGeom prst="rect">
                            <a:avLst/>
                          </a:prstGeom>
                          <a:noFill/>
                          <a:ln>
                            <a:noFill/>
                          </a:ln>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4" w:hRule="atLeast"/>
        </w:trPr>
        <w:tc>
          <w:tcPr>
            <w:tcW w:w="673"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eastAsia"/>
                <w:color w:val="auto"/>
                <w:highlight w:val="none"/>
                <w:vertAlign w:val="baseline"/>
                <w:lang w:val="en-US" w:eastAsia="zh-CN"/>
              </w:rPr>
              <w:t>11</w:t>
            </w:r>
          </w:p>
        </w:tc>
        <w:tc>
          <w:tcPr>
            <w:tcW w:w="1069"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default"/>
                <w:color w:val="auto"/>
                <w:highlight w:val="none"/>
                <w:vertAlign w:val="baseline"/>
                <w:lang w:val="en-US" w:eastAsia="zh-CN"/>
              </w:rPr>
              <w:t xml:space="preserve"> </w:t>
            </w:r>
            <w:r>
              <w:rPr>
                <w:rFonts w:hint="eastAsia"/>
                <w:color w:val="auto"/>
                <w:highlight w:val="none"/>
                <w:vertAlign w:val="baseline"/>
                <w:lang w:val="en-US" w:eastAsia="zh-CN"/>
              </w:rPr>
              <w:t>研讨椅</w:t>
            </w:r>
          </w:p>
        </w:tc>
        <w:tc>
          <w:tcPr>
            <w:tcW w:w="780"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eastAsia"/>
                <w:color w:val="auto"/>
                <w:highlight w:val="none"/>
                <w:vertAlign w:val="baseline"/>
                <w:lang w:val="en-US" w:eastAsia="zh-CN"/>
              </w:rPr>
              <w:t>1张</w:t>
            </w:r>
          </w:p>
        </w:tc>
        <w:tc>
          <w:tcPr>
            <w:tcW w:w="6143"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default"/>
                <w:color w:val="auto"/>
                <w:highlight w:val="none"/>
              </w:rPr>
              <w:drawing>
                <wp:anchor distT="0" distB="0" distL="114300" distR="114300" simplePos="0" relativeHeight="251664384" behindDoc="1" locked="0" layoutInCell="1" allowOverlap="1">
                  <wp:simplePos x="0" y="0"/>
                  <wp:positionH relativeFrom="column">
                    <wp:posOffset>1576070</wp:posOffset>
                  </wp:positionH>
                  <wp:positionV relativeFrom="paragraph">
                    <wp:posOffset>114935</wp:posOffset>
                  </wp:positionV>
                  <wp:extent cx="1024255" cy="1324610"/>
                  <wp:effectExtent l="0" t="0" r="4445" b="8890"/>
                  <wp:wrapTight wrapText="bothSides">
                    <wp:wrapPolygon>
                      <wp:start x="0" y="0"/>
                      <wp:lineTo x="0" y="21434"/>
                      <wp:lineTo x="21292" y="21434"/>
                      <wp:lineTo x="21292" y="0"/>
                      <wp:lineTo x="0" y="0"/>
                    </wp:wrapPolygon>
                  </wp:wrapTight>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22"/>
                          <a:srcRect l="15199" t="14034" r="14906" b="14265"/>
                          <a:stretch>
                            <a:fillRect/>
                          </a:stretch>
                        </pic:blipFill>
                        <pic:spPr>
                          <a:xfrm>
                            <a:off x="0" y="0"/>
                            <a:ext cx="1024255" cy="1324610"/>
                          </a:xfrm>
                          <a:prstGeom prst="rect">
                            <a:avLst/>
                          </a:prstGeom>
                          <a:noFill/>
                          <a:ln>
                            <a:noFill/>
                          </a:ln>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8" w:hRule="atLeast"/>
        </w:trPr>
        <w:tc>
          <w:tcPr>
            <w:tcW w:w="673"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eastAsia"/>
                <w:color w:val="auto"/>
                <w:highlight w:val="none"/>
                <w:vertAlign w:val="baseline"/>
                <w:lang w:val="en-US" w:eastAsia="zh-CN"/>
              </w:rPr>
              <w:t>12</w:t>
            </w:r>
          </w:p>
        </w:tc>
        <w:tc>
          <w:tcPr>
            <w:tcW w:w="1069"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default"/>
                <w:color w:val="auto"/>
                <w:highlight w:val="none"/>
                <w:vertAlign w:val="baseline"/>
                <w:lang w:val="en-US" w:eastAsia="zh-CN"/>
              </w:rPr>
              <w:t>椅站脚上部分铝合金件小样</w:t>
            </w:r>
          </w:p>
        </w:tc>
        <w:tc>
          <w:tcPr>
            <w:tcW w:w="780" w:type="dxa"/>
            <w:noWrap w:val="0"/>
            <w:vAlign w:val="center"/>
          </w:tcPr>
          <w:p>
            <w:pPr>
              <w:keepNext w:val="0"/>
              <w:keepLines w:val="0"/>
              <w:suppressLineNumbers w:val="0"/>
              <w:spacing w:before="0" w:beforeAutospacing="0" w:after="0" w:afterAutospacing="0"/>
              <w:ind w:left="0" w:right="0"/>
              <w:jc w:val="center"/>
              <w:rPr>
                <w:rFonts w:hint="eastAsia"/>
                <w:color w:val="auto"/>
                <w:highlight w:val="none"/>
                <w:vertAlign w:val="baseline"/>
                <w:lang w:val="en-US" w:eastAsia="zh-CN"/>
              </w:rPr>
            </w:pPr>
            <w:r>
              <w:rPr>
                <w:rFonts w:hint="eastAsia"/>
                <w:color w:val="auto"/>
                <w:highlight w:val="none"/>
                <w:vertAlign w:val="baseline"/>
                <w:lang w:val="en-US" w:eastAsia="zh-CN"/>
              </w:rPr>
              <w:t>1个</w:t>
            </w:r>
          </w:p>
        </w:tc>
        <w:tc>
          <w:tcPr>
            <w:tcW w:w="6143"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default"/>
                <w:color w:val="auto"/>
                <w:highlight w:val="none"/>
              </w:rPr>
              <w:drawing>
                <wp:anchor distT="0" distB="0" distL="114300" distR="114300" simplePos="0" relativeHeight="251665408" behindDoc="1" locked="0" layoutInCell="1" allowOverlap="1">
                  <wp:simplePos x="0" y="0"/>
                  <wp:positionH relativeFrom="column">
                    <wp:posOffset>265430</wp:posOffset>
                  </wp:positionH>
                  <wp:positionV relativeFrom="paragraph">
                    <wp:posOffset>318135</wp:posOffset>
                  </wp:positionV>
                  <wp:extent cx="1768475" cy="1076325"/>
                  <wp:effectExtent l="0" t="0" r="3175" b="9525"/>
                  <wp:wrapTight wrapText="bothSides">
                    <wp:wrapPolygon>
                      <wp:start x="0" y="0"/>
                      <wp:lineTo x="0" y="21409"/>
                      <wp:lineTo x="21406" y="21409"/>
                      <wp:lineTo x="21406" y="0"/>
                      <wp:lineTo x="0" y="0"/>
                    </wp:wrapPolygon>
                  </wp:wrapTight>
                  <wp:docPr id="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3"/>
                          <pic:cNvPicPr>
                            <a:picLocks noChangeAspect="1"/>
                          </pic:cNvPicPr>
                        </pic:nvPicPr>
                        <pic:blipFill>
                          <a:blip r:embed="rId23"/>
                          <a:stretch>
                            <a:fillRect/>
                          </a:stretch>
                        </pic:blipFill>
                        <pic:spPr>
                          <a:xfrm>
                            <a:off x="0" y="0"/>
                            <a:ext cx="1768475" cy="1076325"/>
                          </a:xfrm>
                          <a:prstGeom prst="rect">
                            <a:avLst/>
                          </a:prstGeom>
                          <a:noFill/>
                          <a:ln>
                            <a:noFill/>
                          </a:ln>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9" w:hRule="atLeast"/>
        </w:trPr>
        <w:tc>
          <w:tcPr>
            <w:tcW w:w="673"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eastAsia"/>
                <w:color w:val="auto"/>
                <w:highlight w:val="none"/>
                <w:vertAlign w:val="baseline"/>
                <w:lang w:val="en-US" w:eastAsia="zh-CN"/>
              </w:rPr>
              <w:t>13</w:t>
            </w:r>
          </w:p>
        </w:tc>
        <w:tc>
          <w:tcPr>
            <w:tcW w:w="1069"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default"/>
                <w:color w:val="auto"/>
                <w:highlight w:val="none"/>
                <w:vertAlign w:val="baseline"/>
                <w:lang w:val="en-US" w:eastAsia="zh-CN"/>
              </w:rPr>
              <w:t>研讨椅未打磨、未喷漆、带毛刺的椅站脚下部分铝合金件小样</w:t>
            </w:r>
          </w:p>
        </w:tc>
        <w:tc>
          <w:tcPr>
            <w:tcW w:w="780" w:type="dxa"/>
            <w:noWrap w:val="0"/>
            <w:vAlign w:val="center"/>
          </w:tcPr>
          <w:p>
            <w:pPr>
              <w:keepNext w:val="0"/>
              <w:keepLines w:val="0"/>
              <w:suppressLineNumbers w:val="0"/>
              <w:spacing w:before="0" w:beforeAutospacing="0" w:after="0" w:afterAutospacing="0"/>
              <w:ind w:left="0" w:right="0"/>
              <w:jc w:val="center"/>
              <w:rPr>
                <w:rFonts w:hint="eastAsia"/>
                <w:color w:val="auto"/>
                <w:highlight w:val="none"/>
                <w:vertAlign w:val="baseline"/>
                <w:lang w:val="en-US" w:eastAsia="zh-CN"/>
              </w:rPr>
            </w:pPr>
            <w:r>
              <w:rPr>
                <w:rFonts w:hint="eastAsia"/>
                <w:color w:val="auto"/>
                <w:highlight w:val="none"/>
                <w:vertAlign w:val="baseline"/>
                <w:lang w:val="en-US" w:eastAsia="zh-CN"/>
              </w:rPr>
              <w:t>1个</w:t>
            </w:r>
          </w:p>
        </w:tc>
        <w:tc>
          <w:tcPr>
            <w:tcW w:w="6143"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default"/>
                <w:color w:val="auto"/>
                <w:highlight w:val="none"/>
              </w:rPr>
              <w:drawing>
                <wp:anchor distT="0" distB="0" distL="114300" distR="114300" simplePos="0" relativeHeight="251666432" behindDoc="1" locked="0" layoutInCell="1" allowOverlap="1">
                  <wp:simplePos x="0" y="0"/>
                  <wp:positionH relativeFrom="column">
                    <wp:posOffset>104775</wp:posOffset>
                  </wp:positionH>
                  <wp:positionV relativeFrom="paragraph">
                    <wp:posOffset>324485</wp:posOffset>
                  </wp:positionV>
                  <wp:extent cx="1325245" cy="928370"/>
                  <wp:effectExtent l="0" t="0" r="8255" b="5080"/>
                  <wp:wrapTight wrapText="bothSides">
                    <wp:wrapPolygon>
                      <wp:start x="0" y="0"/>
                      <wp:lineTo x="0" y="21275"/>
                      <wp:lineTo x="21424" y="21275"/>
                      <wp:lineTo x="21424" y="0"/>
                      <wp:lineTo x="0" y="0"/>
                    </wp:wrapPolygon>
                  </wp:wrapTight>
                  <wp:docPr id="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4"/>
                          <pic:cNvPicPr>
                            <a:picLocks noChangeAspect="1"/>
                          </pic:cNvPicPr>
                        </pic:nvPicPr>
                        <pic:blipFill>
                          <a:blip r:embed="rId24"/>
                          <a:stretch>
                            <a:fillRect/>
                          </a:stretch>
                        </pic:blipFill>
                        <pic:spPr>
                          <a:xfrm>
                            <a:off x="0" y="0"/>
                            <a:ext cx="1325245" cy="928370"/>
                          </a:xfrm>
                          <a:prstGeom prst="rect">
                            <a:avLst/>
                          </a:prstGeom>
                          <a:noFill/>
                          <a:ln>
                            <a:noFill/>
                          </a:ln>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trPr>
        <w:tc>
          <w:tcPr>
            <w:tcW w:w="673"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eastAsia"/>
                <w:color w:val="auto"/>
                <w:highlight w:val="none"/>
                <w:vertAlign w:val="baseline"/>
                <w:lang w:val="en-US" w:eastAsia="zh-CN"/>
              </w:rPr>
              <w:t>14</w:t>
            </w:r>
          </w:p>
        </w:tc>
        <w:tc>
          <w:tcPr>
            <w:tcW w:w="1069"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eastAsia"/>
                <w:color w:val="auto"/>
                <w:highlight w:val="none"/>
                <w:vertAlign w:val="baseline"/>
                <w:lang w:val="en-US" w:eastAsia="zh-CN"/>
              </w:rPr>
              <w:t>会议椅</w:t>
            </w:r>
          </w:p>
        </w:tc>
        <w:tc>
          <w:tcPr>
            <w:tcW w:w="780" w:type="dxa"/>
            <w:noWrap w:val="0"/>
            <w:vAlign w:val="center"/>
          </w:tcPr>
          <w:p>
            <w:pPr>
              <w:keepNext w:val="0"/>
              <w:keepLines w:val="0"/>
              <w:suppressLineNumbers w:val="0"/>
              <w:spacing w:before="0" w:beforeAutospacing="0" w:after="0" w:afterAutospacing="0"/>
              <w:ind w:left="0" w:right="0"/>
              <w:jc w:val="center"/>
              <w:rPr>
                <w:rFonts w:hint="eastAsia"/>
                <w:color w:val="auto"/>
                <w:highlight w:val="none"/>
                <w:vertAlign w:val="baseline"/>
                <w:lang w:val="en-US" w:eastAsia="zh-CN"/>
              </w:rPr>
            </w:pPr>
            <w:r>
              <w:rPr>
                <w:rFonts w:hint="eastAsia"/>
                <w:color w:val="auto"/>
                <w:highlight w:val="none"/>
                <w:vertAlign w:val="baseline"/>
                <w:lang w:val="en-US" w:eastAsia="zh-CN"/>
              </w:rPr>
              <w:t>1张</w:t>
            </w:r>
          </w:p>
        </w:tc>
        <w:tc>
          <w:tcPr>
            <w:tcW w:w="6143" w:type="dxa"/>
            <w:noWrap w:val="0"/>
            <w:vAlign w:val="center"/>
          </w:tcPr>
          <w:p>
            <w:pPr>
              <w:keepNext w:val="0"/>
              <w:keepLines w:val="0"/>
              <w:suppressLineNumbers w:val="0"/>
              <w:spacing w:before="0" w:beforeAutospacing="0" w:after="0" w:afterAutospacing="0"/>
              <w:ind w:left="0" w:right="0"/>
              <w:jc w:val="center"/>
              <w:rPr>
                <w:rFonts w:hint="eastAsia" w:eastAsia="宋体"/>
                <w:color w:val="auto"/>
                <w:highlight w:val="none"/>
                <w:lang w:eastAsia="zh-CN"/>
              </w:rPr>
            </w:pPr>
            <w:r>
              <w:rPr>
                <w:rFonts w:hint="eastAsia" w:eastAsia="宋体"/>
                <w:color w:val="auto"/>
                <w:highlight w:val="none"/>
                <w:lang w:eastAsia="zh-CN"/>
              </w:rPr>
              <w:drawing>
                <wp:inline distT="0" distB="0" distL="114300" distR="114300">
                  <wp:extent cx="1454150" cy="1550670"/>
                  <wp:effectExtent l="0" t="0" r="12700" b="11430"/>
                  <wp:docPr id="1" name="图片 1" descr="_QR]F3$KTDAASNVMX2F_F9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_QR]F3$KTDAASNVMX2F_F9N"/>
                          <pic:cNvPicPr>
                            <a:picLocks noChangeAspect="1"/>
                          </pic:cNvPicPr>
                        </pic:nvPicPr>
                        <pic:blipFill>
                          <a:blip r:embed="rId25"/>
                          <a:stretch>
                            <a:fillRect/>
                          </a:stretch>
                        </pic:blipFill>
                        <pic:spPr>
                          <a:xfrm>
                            <a:off x="0" y="0"/>
                            <a:ext cx="1454150" cy="155067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3" w:hRule="atLeast"/>
        </w:trPr>
        <w:tc>
          <w:tcPr>
            <w:tcW w:w="673"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eastAsia"/>
                <w:color w:val="auto"/>
                <w:highlight w:val="none"/>
                <w:vertAlign w:val="baseline"/>
                <w:lang w:val="en-US" w:eastAsia="zh-CN"/>
              </w:rPr>
              <w:t>15</w:t>
            </w:r>
          </w:p>
        </w:tc>
        <w:tc>
          <w:tcPr>
            <w:tcW w:w="1069"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vertAlign w:val="baseline"/>
                <w:lang w:val="en-US" w:eastAsia="zh-CN"/>
              </w:rPr>
            </w:pPr>
            <w:r>
              <w:rPr>
                <w:rFonts w:hint="default"/>
                <w:color w:val="auto"/>
                <w:highlight w:val="none"/>
                <w:vertAlign w:val="baseline"/>
                <w:lang w:val="en-US" w:eastAsia="zh-CN"/>
              </w:rPr>
              <w:t>未打磨、未喷漆、带毛刺的扶手铝合金部件小样</w:t>
            </w:r>
          </w:p>
        </w:tc>
        <w:tc>
          <w:tcPr>
            <w:tcW w:w="780" w:type="dxa"/>
            <w:noWrap w:val="0"/>
            <w:vAlign w:val="center"/>
          </w:tcPr>
          <w:p>
            <w:pPr>
              <w:keepNext w:val="0"/>
              <w:keepLines w:val="0"/>
              <w:suppressLineNumbers w:val="0"/>
              <w:spacing w:before="0" w:beforeAutospacing="0" w:after="0" w:afterAutospacing="0"/>
              <w:ind w:left="0" w:right="0"/>
              <w:jc w:val="center"/>
              <w:rPr>
                <w:rFonts w:hint="eastAsia"/>
                <w:color w:val="auto"/>
                <w:highlight w:val="none"/>
                <w:vertAlign w:val="baseline"/>
                <w:lang w:val="en-US" w:eastAsia="zh-CN"/>
              </w:rPr>
            </w:pPr>
            <w:r>
              <w:rPr>
                <w:rFonts w:hint="eastAsia"/>
                <w:color w:val="auto"/>
                <w:highlight w:val="none"/>
                <w:vertAlign w:val="baseline"/>
                <w:lang w:val="en-US" w:eastAsia="zh-CN"/>
              </w:rPr>
              <w:t>1个</w:t>
            </w:r>
          </w:p>
        </w:tc>
        <w:tc>
          <w:tcPr>
            <w:tcW w:w="6143" w:type="dxa"/>
            <w:noWrap w:val="0"/>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default"/>
                <w:color w:val="auto"/>
                <w:highlight w:val="none"/>
              </w:rPr>
              <w:drawing>
                <wp:anchor distT="0" distB="0" distL="114300" distR="114300" simplePos="0" relativeHeight="251667456" behindDoc="1" locked="0" layoutInCell="1" allowOverlap="1">
                  <wp:simplePos x="0" y="0"/>
                  <wp:positionH relativeFrom="column">
                    <wp:posOffset>29210</wp:posOffset>
                  </wp:positionH>
                  <wp:positionV relativeFrom="paragraph">
                    <wp:posOffset>389255</wp:posOffset>
                  </wp:positionV>
                  <wp:extent cx="1453515" cy="1001395"/>
                  <wp:effectExtent l="0" t="0" r="13335" b="8255"/>
                  <wp:wrapTight wrapText="bothSides">
                    <wp:wrapPolygon>
                      <wp:start x="0" y="0"/>
                      <wp:lineTo x="0" y="21367"/>
                      <wp:lineTo x="21232" y="21367"/>
                      <wp:lineTo x="21232" y="0"/>
                      <wp:lineTo x="0" y="0"/>
                    </wp:wrapPolygon>
                  </wp:wrapTight>
                  <wp:docPr id="1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5"/>
                          <pic:cNvPicPr>
                            <a:picLocks noChangeAspect="1"/>
                          </pic:cNvPicPr>
                        </pic:nvPicPr>
                        <pic:blipFill>
                          <a:blip r:embed="rId26"/>
                          <a:stretch>
                            <a:fillRect/>
                          </a:stretch>
                        </pic:blipFill>
                        <pic:spPr>
                          <a:xfrm>
                            <a:off x="0" y="0"/>
                            <a:ext cx="1453515" cy="1001395"/>
                          </a:xfrm>
                          <a:prstGeom prst="rect">
                            <a:avLst/>
                          </a:prstGeom>
                          <a:noFill/>
                          <a:ln>
                            <a:noFill/>
                          </a:ln>
                        </pic:spPr>
                      </pic:pic>
                    </a:graphicData>
                  </a:graphic>
                </wp:anchor>
              </w:drawing>
            </w:r>
          </w:p>
        </w:tc>
      </w:tr>
    </w:tbl>
    <w:p>
      <w:pPr>
        <w:widowControl/>
        <w:spacing w:line="360" w:lineRule="auto"/>
        <w:ind w:firstLine="482"/>
        <w:jc w:val="left"/>
        <w:rPr>
          <w:rFonts w:hint="eastAsia" w:ascii="宋体" w:hAnsi="宋体" w:cs="宋体"/>
          <w:b/>
          <w:bCs/>
          <w:color w:val="auto"/>
          <w:sz w:val="24"/>
          <w:szCs w:val="24"/>
          <w:highlight w:val="none"/>
          <w:lang w:val="en-US" w:eastAsia="zh-CN"/>
        </w:rPr>
      </w:pPr>
    </w:p>
    <w:p>
      <w:pPr>
        <w:widowControl/>
        <w:spacing w:line="360" w:lineRule="auto"/>
        <w:ind w:firstLine="482"/>
        <w:jc w:val="left"/>
        <w:rPr>
          <w:rFonts w:hint="eastAsia" w:ascii="宋体" w:hAnsi="宋体" w:cs="宋体"/>
          <w:b/>
          <w:bCs/>
          <w:color w:val="auto"/>
          <w:sz w:val="24"/>
          <w:szCs w:val="24"/>
          <w:highlight w:val="none"/>
          <w:lang w:val="en-US" w:eastAsia="zh-CN"/>
        </w:rPr>
      </w:pPr>
    </w:p>
    <w:p>
      <w:pPr>
        <w:widowControl/>
        <w:spacing w:line="360" w:lineRule="auto"/>
        <w:ind w:firstLine="482"/>
        <w:jc w:val="left"/>
        <w:rPr>
          <w:rFonts w:hint="eastAsia" w:ascii="宋体" w:hAnsi="宋体" w:cs="宋体"/>
          <w:b/>
          <w:bCs/>
          <w:color w:val="auto"/>
          <w:sz w:val="24"/>
          <w:szCs w:val="24"/>
          <w:highlight w:val="none"/>
          <w:lang w:val="en-US" w:eastAsia="zh-CN"/>
        </w:rPr>
      </w:pPr>
    </w:p>
    <w:p>
      <w:pPr>
        <w:widowControl/>
        <w:spacing w:line="360" w:lineRule="auto"/>
        <w:ind w:firstLine="482"/>
        <w:jc w:val="left"/>
        <w:rPr>
          <w:rFonts w:hint="eastAsia" w:ascii="宋体" w:hAnsi="宋体" w:cs="宋体"/>
          <w:bCs/>
          <w:color w:val="auto"/>
          <w:kern w:val="0"/>
          <w:sz w:val="24"/>
          <w:szCs w:val="24"/>
          <w:highlight w:val="none"/>
        </w:rPr>
      </w:pPr>
    </w:p>
    <w:p>
      <w:pPr>
        <w:widowControl/>
        <w:spacing w:line="360" w:lineRule="auto"/>
        <w:ind w:firstLine="482"/>
        <w:jc w:val="left"/>
        <w:rPr>
          <w:rFonts w:hint="eastAsia" w:ascii="宋体" w:hAnsi="宋体" w:cs="宋体"/>
          <w:bCs/>
          <w:color w:val="auto"/>
          <w:kern w:val="0"/>
          <w:sz w:val="24"/>
          <w:szCs w:val="24"/>
          <w:highlight w:val="none"/>
        </w:rPr>
      </w:pPr>
    </w:p>
    <w:p>
      <w:pPr>
        <w:widowControl/>
        <w:spacing w:line="360" w:lineRule="auto"/>
        <w:ind w:firstLine="482"/>
        <w:jc w:val="left"/>
        <w:rPr>
          <w:rFonts w:hint="eastAsia" w:ascii="宋体" w:hAnsi="宋体" w:cs="宋体"/>
          <w:bCs/>
          <w:color w:val="auto"/>
          <w:kern w:val="0"/>
          <w:sz w:val="24"/>
          <w:szCs w:val="24"/>
          <w:highlight w:val="none"/>
        </w:rPr>
      </w:pPr>
    </w:p>
    <w:p>
      <w:pPr>
        <w:widowControl/>
        <w:spacing w:line="360" w:lineRule="auto"/>
        <w:ind w:firstLine="482"/>
        <w:jc w:val="left"/>
        <w:rPr>
          <w:rFonts w:hint="eastAsia" w:ascii="宋体" w:hAnsi="宋体" w:cs="宋体"/>
          <w:bCs/>
          <w:color w:val="auto"/>
          <w:kern w:val="0"/>
          <w:sz w:val="24"/>
          <w:szCs w:val="24"/>
          <w:highlight w:val="none"/>
        </w:rPr>
      </w:pPr>
    </w:p>
    <w:p>
      <w:pPr>
        <w:widowControl/>
        <w:spacing w:line="360" w:lineRule="auto"/>
        <w:ind w:firstLine="482"/>
        <w:jc w:val="left"/>
        <w:rPr>
          <w:rFonts w:hint="eastAsia" w:ascii="宋体" w:hAnsi="宋体" w:cs="宋体"/>
          <w:bCs/>
          <w:color w:val="auto"/>
          <w:kern w:val="0"/>
          <w:sz w:val="24"/>
          <w:szCs w:val="24"/>
          <w:highlight w:val="none"/>
        </w:rPr>
      </w:pPr>
    </w:p>
    <w:p>
      <w:pPr>
        <w:widowControl/>
        <w:spacing w:line="360" w:lineRule="auto"/>
        <w:ind w:firstLine="482"/>
        <w:jc w:val="left"/>
        <w:rPr>
          <w:rFonts w:hint="eastAsia" w:ascii="宋体" w:hAnsi="宋体" w:cs="宋体"/>
          <w:bCs/>
          <w:color w:val="auto"/>
          <w:kern w:val="0"/>
          <w:sz w:val="24"/>
          <w:szCs w:val="24"/>
          <w:highlight w:val="none"/>
        </w:rPr>
      </w:pPr>
    </w:p>
    <w:p>
      <w:pPr>
        <w:widowControl/>
        <w:spacing w:line="360" w:lineRule="auto"/>
        <w:ind w:firstLine="482"/>
        <w:jc w:val="left"/>
        <w:rPr>
          <w:rFonts w:hint="eastAsia" w:ascii="宋体" w:hAnsi="宋体" w:cs="宋体"/>
          <w:bCs/>
          <w:color w:val="auto"/>
          <w:kern w:val="0"/>
          <w:sz w:val="24"/>
          <w:szCs w:val="24"/>
          <w:highlight w:val="none"/>
        </w:rPr>
      </w:pPr>
    </w:p>
    <w:p>
      <w:pPr>
        <w:widowControl/>
        <w:spacing w:line="360" w:lineRule="auto"/>
        <w:ind w:firstLine="482"/>
        <w:jc w:val="left"/>
        <w:rPr>
          <w:rFonts w:hint="eastAsia" w:ascii="宋体" w:hAnsi="宋体" w:cs="宋体"/>
          <w:bCs/>
          <w:color w:val="auto"/>
          <w:kern w:val="0"/>
          <w:sz w:val="24"/>
          <w:szCs w:val="24"/>
          <w:highlight w:val="none"/>
        </w:rPr>
      </w:pPr>
    </w:p>
    <w:p>
      <w:pPr>
        <w:widowControl/>
        <w:spacing w:line="360" w:lineRule="auto"/>
        <w:ind w:firstLine="482"/>
        <w:jc w:val="left"/>
        <w:rPr>
          <w:rFonts w:hint="eastAsia" w:ascii="宋体" w:hAnsi="宋体" w:cs="宋体"/>
          <w:bCs/>
          <w:color w:val="auto"/>
          <w:kern w:val="0"/>
          <w:sz w:val="24"/>
          <w:szCs w:val="24"/>
          <w:highlight w:val="none"/>
        </w:rPr>
      </w:pPr>
    </w:p>
    <w:p>
      <w:pPr>
        <w:widowControl/>
        <w:spacing w:line="360" w:lineRule="auto"/>
        <w:ind w:firstLine="482"/>
        <w:jc w:val="left"/>
        <w:rPr>
          <w:rFonts w:hint="eastAsia" w:ascii="宋体" w:hAnsi="宋体" w:cs="宋体"/>
          <w:bCs/>
          <w:color w:val="auto"/>
          <w:kern w:val="0"/>
          <w:sz w:val="24"/>
          <w:szCs w:val="24"/>
          <w:highlight w:val="none"/>
        </w:rPr>
      </w:pPr>
    </w:p>
    <w:p>
      <w:pPr>
        <w:widowControl/>
        <w:spacing w:line="360" w:lineRule="auto"/>
        <w:ind w:firstLine="482"/>
        <w:jc w:val="left"/>
        <w:rPr>
          <w:rFonts w:hint="eastAsia" w:ascii="宋体" w:hAnsi="宋体" w:cs="宋体"/>
          <w:bCs/>
          <w:color w:val="auto"/>
          <w:kern w:val="0"/>
          <w:sz w:val="24"/>
          <w:szCs w:val="24"/>
          <w:highlight w:val="none"/>
        </w:rPr>
      </w:pPr>
    </w:p>
    <w:p>
      <w:pPr>
        <w:widowControl/>
        <w:spacing w:line="360" w:lineRule="auto"/>
        <w:ind w:firstLine="482"/>
        <w:jc w:val="left"/>
        <w:rPr>
          <w:rFonts w:hint="eastAsia" w:ascii="宋体" w:hAnsi="宋体" w:cs="宋体"/>
          <w:bCs/>
          <w:color w:val="auto"/>
          <w:kern w:val="0"/>
          <w:sz w:val="24"/>
          <w:szCs w:val="24"/>
          <w:highlight w:val="none"/>
        </w:rPr>
      </w:pPr>
    </w:p>
    <w:p>
      <w:pPr>
        <w:widowControl/>
        <w:spacing w:line="360" w:lineRule="auto"/>
        <w:ind w:firstLine="482"/>
        <w:jc w:val="left"/>
        <w:rPr>
          <w:rFonts w:hint="eastAsia" w:ascii="宋体" w:hAnsi="宋体" w:cs="宋体"/>
          <w:bCs/>
          <w:color w:val="auto"/>
          <w:kern w:val="0"/>
          <w:sz w:val="24"/>
          <w:szCs w:val="24"/>
          <w:highlight w:val="none"/>
        </w:rPr>
      </w:pPr>
    </w:p>
    <w:p>
      <w:pPr>
        <w:widowControl/>
        <w:spacing w:line="360" w:lineRule="auto"/>
        <w:ind w:firstLine="482"/>
        <w:jc w:val="left"/>
        <w:rPr>
          <w:rFonts w:hint="eastAsia" w:ascii="宋体" w:hAnsi="宋体" w:cs="宋体"/>
          <w:bCs/>
          <w:color w:val="auto"/>
          <w:kern w:val="0"/>
          <w:sz w:val="24"/>
          <w:szCs w:val="24"/>
          <w:highlight w:val="none"/>
        </w:rPr>
      </w:pPr>
    </w:p>
    <w:p>
      <w:pPr>
        <w:widowControl/>
        <w:spacing w:line="360" w:lineRule="auto"/>
        <w:ind w:firstLine="482"/>
        <w:jc w:val="left"/>
        <w:rPr>
          <w:rFonts w:hint="eastAsia" w:ascii="宋体" w:hAnsi="宋体" w:cs="宋体"/>
          <w:bCs/>
          <w:color w:val="auto"/>
          <w:kern w:val="0"/>
          <w:sz w:val="24"/>
          <w:szCs w:val="24"/>
          <w:highlight w:val="none"/>
        </w:rPr>
      </w:pPr>
    </w:p>
    <w:p>
      <w:pPr>
        <w:widowControl/>
        <w:spacing w:line="360" w:lineRule="auto"/>
        <w:ind w:firstLine="482"/>
        <w:jc w:val="left"/>
        <w:rPr>
          <w:rFonts w:hint="eastAsia" w:ascii="宋体" w:hAnsi="宋体" w:cs="宋体"/>
          <w:bCs/>
          <w:color w:val="auto"/>
          <w:kern w:val="0"/>
          <w:sz w:val="24"/>
          <w:szCs w:val="24"/>
          <w:highlight w:val="none"/>
        </w:rPr>
      </w:pPr>
    </w:p>
    <w:p>
      <w:pPr>
        <w:widowControl/>
        <w:spacing w:line="360" w:lineRule="auto"/>
        <w:ind w:firstLine="482"/>
        <w:jc w:val="left"/>
        <w:rPr>
          <w:rFonts w:hint="eastAsia" w:ascii="宋体" w:hAnsi="宋体" w:cs="宋体"/>
          <w:bCs/>
          <w:color w:val="auto"/>
          <w:kern w:val="0"/>
          <w:sz w:val="24"/>
          <w:szCs w:val="24"/>
          <w:highlight w:val="none"/>
        </w:rPr>
      </w:pPr>
    </w:p>
    <w:p>
      <w:pPr>
        <w:widowControl/>
        <w:spacing w:line="360" w:lineRule="auto"/>
        <w:ind w:firstLine="482"/>
        <w:jc w:val="left"/>
        <w:rPr>
          <w:rFonts w:hint="eastAsia" w:ascii="宋体" w:hAnsi="宋体" w:cs="宋体"/>
          <w:bCs/>
          <w:color w:val="auto"/>
          <w:kern w:val="0"/>
          <w:sz w:val="24"/>
          <w:szCs w:val="24"/>
          <w:highlight w:val="none"/>
        </w:rPr>
      </w:pPr>
    </w:p>
    <w:p>
      <w:pPr>
        <w:widowControl/>
        <w:spacing w:line="360" w:lineRule="auto"/>
        <w:ind w:firstLine="482"/>
        <w:jc w:val="left"/>
        <w:rPr>
          <w:rFonts w:hint="eastAsia" w:ascii="宋体" w:hAnsi="宋体" w:cs="宋体"/>
          <w:bCs/>
          <w:color w:val="auto"/>
          <w:kern w:val="0"/>
          <w:sz w:val="24"/>
          <w:szCs w:val="24"/>
          <w:highlight w:val="none"/>
        </w:rPr>
      </w:pPr>
    </w:p>
    <w:p>
      <w:pPr>
        <w:widowControl/>
        <w:spacing w:line="360" w:lineRule="auto"/>
        <w:ind w:firstLine="482"/>
        <w:jc w:val="left"/>
        <w:rPr>
          <w:rFonts w:hint="eastAsia" w:ascii="宋体" w:hAnsi="宋体" w:cs="宋体"/>
          <w:bCs/>
          <w:color w:val="auto"/>
          <w:kern w:val="0"/>
          <w:sz w:val="24"/>
          <w:szCs w:val="24"/>
          <w:highlight w:val="none"/>
        </w:rPr>
      </w:pPr>
    </w:p>
    <w:p>
      <w:pPr>
        <w:widowControl/>
        <w:spacing w:line="360" w:lineRule="auto"/>
        <w:ind w:firstLine="482"/>
        <w:jc w:val="left"/>
        <w:rPr>
          <w:rFonts w:hint="eastAsia" w:ascii="宋体" w:hAnsi="宋体" w:cs="宋体"/>
          <w:bCs/>
          <w:color w:val="auto"/>
          <w:kern w:val="0"/>
          <w:sz w:val="24"/>
          <w:szCs w:val="24"/>
          <w:highlight w:val="none"/>
        </w:rPr>
      </w:pPr>
    </w:p>
    <w:p>
      <w:pPr>
        <w:widowControl/>
        <w:spacing w:line="360" w:lineRule="auto"/>
        <w:ind w:firstLine="482"/>
        <w:jc w:val="left"/>
        <w:rPr>
          <w:rFonts w:ascii="宋体" w:hAnsi="宋体" w:cs="宋体"/>
          <w:color w:val="auto"/>
          <w:kern w:val="0"/>
          <w:sz w:val="24"/>
          <w:szCs w:val="24"/>
          <w:highlight w:val="none"/>
        </w:rPr>
      </w:pPr>
      <w:r>
        <w:rPr>
          <w:rFonts w:hint="eastAsia" w:ascii="宋体" w:hAnsi="宋体" w:cs="宋体"/>
          <w:bCs/>
          <w:color w:val="auto"/>
          <w:kern w:val="0"/>
          <w:sz w:val="24"/>
          <w:szCs w:val="24"/>
          <w:highlight w:val="none"/>
        </w:rPr>
        <w:t>9.投标人</w:t>
      </w:r>
      <w:r>
        <w:rPr>
          <w:rFonts w:ascii="宋体" w:hAnsi="宋体" w:cs="宋体"/>
          <w:bCs/>
          <w:color w:val="auto"/>
          <w:kern w:val="0"/>
          <w:sz w:val="24"/>
          <w:szCs w:val="24"/>
          <w:highlight w:val="none"/>
        </w:rPr>
        <w:t>提供的样品款式及尺寸应与图片一致。</w:t>
      </w:r>
    </w:p>
    <w:p>
      <w:pPr>
        <w:widowControl/>
        <w:spacing w:line="360" w:lineRule="auto"/>
        <w:ind w:firstLine="470"/>
        <w:jc w:val="left"/>
        <w:rPr>
          <w:rFonts w:ascii="宋体" w:hAnsi="宋体"/>
          <w:b/>
          <w:color w:val="auto"/>
          <w:sz w:val="24"/>
          <w:szCs w:val="24"/>
          <w:highlight w:val="none"/>
        </w:rPr>
      </w:pPr>
      <w:r>
        <w:rPr>
          <w:rFonts w:hint="eastAsia" w:ascii="宋体" w:hAnsi="宋体"/>
          <w:b/>
          <w:bCs/>
          <w:color w:val="auto"/>
          <w:sz w:val="24"/>
          <w:szCs w:val="24"/>
          <w:highlight w:val="none"/>
        </w:rPr>
        <w:t>*10.投标人提供的样品及投标现场对样品的盛装物均不得出现公司名称、标志、符号和商标等可能泄露投标人信息的标识。未按规定提供样品的投标人，将不能作为中标供应商。中标供应商的样品将作为验收依据，在货物供货验收完毕后给予退还。样品需在投标截止时间前，</w:t>
      </w:r>
      <w:r>
        <w:rPr>
          <w:rFonts w:hint="eastAsia" w:ascii="宋体" w:hAnsi="宋体"/>
          <w:b/>
          <w:color w:val="auto"/>
          <w:sz w:val="24"/>
          <w:szCs w:val="24"/>
          <w:highlight w:val="none"/>
        </w:rPr>
        <w:t>送至</w:t>
      </w:r>
      <w:r>
        <w:rPr>
          <w:rFonts w:hint="eastAsia" w:ascii="宋体" w:hAnsi="宋体"/>
          <w:b/>
          <w:color w:val="auto"/>
          <w:sz w:val="24"/>
          <w:highlight w:val="none"/>
          <w:u w:val="single"/>
        </w:rPr>
        <w:t>厦门市湖里区云顶北路842号厦门市政务服务中心</w:t>
      </w:r>
      <w:r>
        <w:rPr>
          <w:rFonts w:hint="eastAsia" w:ascii="宋体" w:hAnsi="宋体"/>
          <w:b/>
          <w:color w:val="auto"/>
          <w:sz w:val="24"/>
          <w:highlight w:val="none"/>
          <w:u w:val="single"/>
          <w:lang w:val="en-US" w:eastAsia="zh-CN"/>
        </w:rPr>
        <w:t>负一楼</w:t>
      </w:r>
      <w:r>
        <w:rPr>
          <w:rFonts w:hint="eastAsia" w:ascii="宋体" w:hAnsi="宋体"/>
          <w:b/>
          <w:color w:val="auto"/>
          <w:sz w:val="24"/>
          <w:highlight w:val="none"/>
          <w:u w:val="single"/>
        </w:rPr>
        <w:t>样品间</w:t>
      </w:r>
      <w:r>
        <w:rPr>
          <w:rFonts w:hint="eastAsia" w:ascii="宋体" w:hAnsi="宋体"/>
          <w:b/>
          <w:color w:val="auto"/>
          <w:sz w:val="24"/>
          <w:szCs w:val="24"/>
          <w:highlight w:val="none"/>
        </w:rPr>
        <w:t>。</w:t>
      </w:r>
    </w:p>
    <w:p>
      <w:pPr>
        <w:widowControl/>
        <w:spacing w:line="360" w:lineRule="auto"/>
        <w:ind w:firstLine="470"/>
        <w:jc w:val="left"/>
        <w:rPr>
          <w:rFonts w:ascii="宋体" w:hAnsi="宋体" w:cs="宋体"/>
          <w:bCs/>
          <w:color w:val="auto"/>
          <w:kern w:val="0"/>
          <w:sz w:val="24"/>
          <w:szCs w:val="24"/>
          <w:highlight w:val="none"/>
        </w:rPr>
      </w:pPr>
      <w:r>
        <w:rPr>
          <w:rFonts w:hint="eastAsia" w:ascii="宋体" w:hAnsi="宋体" w:cs="宋体"/>
          <w:bCs/>
          <w:color w:val="auto"/>
          <w:kern w:val="0"/>
          <w:sz w:val="24"/>
          <w:szCs w:val="24"/>
          <w:highlight w:val="none"/>
        </w:rPr>
        <w:t>11.招标文件中涉及提供检测报告复印件的，中标后，使用单位将要求中标供应商提供检测报告原件予以核对，中标供应商应在2日内提供检测报告原件。如中标供应商无法提供检测报告原件，或者发现中标供应商提供的检测报告原件与复印件不一致，或者经查询发现检测报告存在造假情形的，采购单位将向采购监管部门提请监督检查，取消中标供应商资格并列入不良行为记录。（投标人须在投标文件中响应满足上述条款要求）。</w:t>
      </w:r>
    </w:p>
    <w:p>
      <w:pPr>
        <w:spacing w:line="360" w:lineRule="auto"/>
        <w:ind w:right="-63" w:rightChars="-30"/>
        <w:rPr>
          <w:rFonts w:ascii="宋体" w:hAnsi="宋体"/>
          <w:b/>
          <w:color w:val="auto"/>
          <w:sz w:val="24"/>
          <w:szCs w:val="24"/>
          <w:highlight w:val="none"/>
        </w:rPr>
      </w:pPr>
      <w:r>
        <w:rPr>
          <w:rFonts w:hint="eastAsia" w:ascii="宋体" w:hAnsi="宋体"/>
          <w:b/>
          <w:color w:val="auto"/>
          <w:sz w:val="24"/>
          <w:szCs w:val="24"/>
          <w:highlight w:val="none"/>
        </w:rPr>
        <w:t>三、投标人资格证明要求</w:t>
      </w:r>
    </w:p>
    <w:p>
      <w:pPr>
        <w:snapToGrid w:val="0"/>
        <w:spacing w:line="360" w:lineRule="auto"/>
        <w:ind w:firstLine="590" w:firstLineChars="245"/>
        <w:rPr>
          <w:rFonts w:ascii="宋体" w:hAnsi="宋体"/>
          <w:b/>
          <w:color w:val="auto"/>
          <w:sz w:val="24"/>
          <w:szCs w:val="24"/>
          <w:highlight w:val="none"/>
        </w:rPr>
      </w:pPr>
      <w:r>
        <w:rPr>
          <w:rFonts w:hint="eastAsia" w:ascii="宋体" w:hAnsi="宋体"/>
          <w:b/>
          <w:color w:val="auto"/>
          <w:sz w:val="24"/>
          <w:szCs w:val="24"/>
          <w:highlight w:val="none"/>
        </w:rPr>
        <w:t>*1.投标人应提供工商营业执照（副本）（加盖公章）的复印件。</w:t>
      </w:r>
    </w:p>
    <w:p>
      <w:pPr>
        <w:pStyle w:val="11"/>
        <w:shd w:val="clear" w:color="auto" w:fill="FFFFFF"/>
        <w:spacing w:before="0" w:beforeAutospacing="0" w:after="0" w:afterAutospacing="0" w:line="360" w:lineRule="auto"/>
        <w:ind w:firstLine="470" w:firstLineChars="195"/>
        <w:rPr>
          <w:b/>
          <w:color w:val="auto"/>
          <w:highlight w:val="none"/>
        </w:rPr>
      </w:pPr>
      <w:r>
        <w:rPr>
          <w:rFonts w:hint="eastAsia"/>
          <w:b/>
          <w:color w:val="auto"/>
          <w:highlight w:val="none"/>
        </w:rPr>
        <w:t>*2.投标人全权代表若不是单位负责人，应提供单位授权书原件，并提供被授权代表身份证复印件。</w:t>
      </w:r>
    </w:p>
    <w:p>
      <w:pPr>
        <w:pStyle w:val="11"/>
        <w:shd w:val="clear" w:color="auto" w:fill="FFFFFF"/>
        <w:spacing w:before="0" w:beforeAutospacing="0" w:after="0" w:afterAutospacing="0" w:line="360" w:lineRule="auto"/>
        <w:ind w:firstLine="470" w:firstLineChars="195"/>
        <w:rPr>
          <w:b/>
          <w:color w:val="auto"/>
          <w:highlight w:val="none"/>
        </w:rPr>
      </w:pPr>
      <w:r>
        <w:rPr>
          <w:rFonts w:hint="eastAsia"/>
          <w:b/>
          <w:color w:val="auto"/>
          <w:highlight w:val="none"/>
        </w:rPr>
        <w:t>*3、</w:t>
      </w:r>
      <w:r>
        <w:rPr>
          <w:b/>
          <w:color w:val="auto"/>
          <w:highlight w:val="none"/>
        </w:rPr>
        <w:t>本项目专门面向</w:t>
      </w:r>
      <w:r>
        <w:rPr>
          <w:rFonts w:hint="eastAsia"/>
          <w:b/>
          <w:color w:val="auto"/>
          <w:highlight w:val="none"/>
        </w:rPr>
        <w:t>小型或微型</w:t>
      </w:r>
      <w:r>
        <w:rPr>
          <w:b/>
          <w:color w:val="auto"/>
          <w:highlight w:val="none"/>
        </w:rPr>
        <w:t>企业采购，所投所有采购标的均为</w:t>
      </w:r>
      <w:r>
        <w:rPr>
          <w:rFonts w:hint="eastAsia"/>
          <w:b/>
          <w:color w:val="auto"/>
          <w:highlight w:val="none"/>
        </w:rPr>
        <w:t>小型或微型</w:t>
      </w:r>
      <w:r>
        <w:rPr>
          <w:b/>
          <w:color w:val="auto"/>
          <w:highlight w:val="none"/>
        </w:rPr>
        <w:t>企业制造，须提供</w:t>
      </w:r>
      <w:r>
        <w:rPr>
          <w:rFonts w:hint="eastAsia"/>
          <w:b/>
          <w:color w:val="auto"/>
          <w:highlight w:val="none"/>
        </w:rPr>
        <w:t>小型或微型</w:t>
      </w:r>
      <w:r>
        <w:rPr>
          <w:b/>
          <w:color w:val="auto"/>
          <w:highlight w:val="none"/>
        </w:rPr>
        <w:t>企业声明函，且本项目不再执行价格评审优惠的扶持政策。本项目对应的</w:t>
      </w:r>
      <w:r>
        <w:rPr>
          <w:rFonts w:hint="eastAsia"/>
          <w:b/>
          <w:color w:val="auto"/>
          <w:highlight w:val="none"/>
        </w:rPr>
        <w:t>小型或微型</w:t>
      </w:r>
      <w:r>
        <w:rPr>
          <w:b/>
          <w:color w:val="auto"/>
          <w:highlight w:val="none"/>
        </w:rPr>
        <w:t>企业划分标准所属</w:t>
      </w:r>
      <w:r>
        <w:rPr>
          <w:rFonts w:hint="eastAsia"/>
          <w:b/>
          <w:color w:val="auto"/>
          <w:highlight w:val="none"/>
        </w:rPr>
        <w:t>工业行业。</w:t>
      </w:r>
    </w:p>
    <w:p>
      <w:pPr>
        <w:pStyle w:val="11"/>
        <w:shd w:val="clear" w:color="auto" w:fill="FFFFFF"/>
        <w:spacing w:before="0" w:beforeAutospacing="0" w:after="0" w:afterAutospacing="0" w:line="360" w:lineRule="auto"/>
        <w:ind w:firstLine="470" w:firstLineChars="195"/>
        <w:rPr>
          <w:b/>
          <w:color w:val="auto"/>
          <w:highlight w:val="none"/>
        </w:rPr>
      </w:pPr>
    </w:p>
    <w:p>
      <w:pPr>
        <w:pStyle w:val="11"/>
        <w:shd w:val="clear" w:color="auto" w:fill="FFFFFF"/>
        <w:spacing w:before="0" w:beforeAutospacing="0" w:after="0" w:afterAutospacing="0" w:line="360" w:lineRule="auto"/>
        <w:rPr>
          <w:b/>
          <w:color w:val="auto"/>
          <w:highlight w:val="none"/>
        </w:rPr>
      </w:pPr>
      <w:r>
        <w:rPr>
          <w:rFonts w:hint="eastAsia"/>
          <w:b/>
          <w:color w:val="auto"/>
          <w:highlight w:val="none"/>
        </w:rPr>
        <w:t>四、商务响应要求</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投标人应在投标文件中提供最近三年来在中国，类似项目的合同业绩证明材料（提供项目中标公告或中标通知书及合同复印件，加盖单位公章，原件备查），需提供项目名称、合同金额、中标日期、联系人、用户反馈意见。</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2.投标人应在投标文件中书面承诺自身已经具备自行生产所投价的全系列产品的能力。</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3.投标人应在投标文件中提供会计师事务所出具的上年审计报告和最近一期的会计报表及银行出具的资信证明文件；如属新企业需出具当年验资报告。</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4.投标人应在投标文件中提供近三年以来地级市以上质量检测单位出具的成品抽样检测报告。</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5.投标人应在投标文件中提供生产合同管理计划保证书一份。</w:t>
      </w:r>
    </w:p>
    <w:p>
      <w:pPr>
        <w:spacing w:line="360" w:lineRule="auto"/>
        <w:ind w:left="-178" w:leftChars="-85" w:right="359" w:rightChars="171" w:firstLine="361" w:firstLineChars="150"/>
        <w:rPr>
          <w:rFonts w:ascii="宋体" w:hAnsi="宋体"/>
          <w:b/>
          <w:color w:val="auto"/>
          <w:sz w:val="24"/>
          <w:szCs w:val="24"/>
          <w:highlight w:val="none"/>
        </w:rPr>
      </w:pPr>
      <w:r>
        <w:rPr>
          <w:rFonts w:hint="eastAsia" w:ascii="宋体" w:hAnsi="宋体"/>
          <w:b/>
          <w:color w:val="auto"/>
          <w:sz w:val="24"/>
          <w:szCs w:val="24"/>
          <w:highlight w:val="none"/>
        </w:rPr>
        <w:t>五、货物质量标准、验收标准</w:t>
      </w:r>
    </w:p>
    <w:p>
      <w:pPr>
        <w:pStyle w:val="4"/>
        <w:spacing w:after="0" w:line="360" w:lineRule="auto"/>
        <w:ind w:left="0" w:leftChars="0" w:firstLine="480" w:firstLineChars="200"/>
        <w:rPr>
          <w:rFonts w:ascii="宋体" w:hAnsi="宋体"/>
          <w:color w:val="auto"/>
          <w:sz w:val="24"/>
          <w:highlight w:val="none"/>
        </w:rPr>
      </w:pPr>
      <w:r>
        <w:rPr>
          <w:rFonts w:hint="eastAsia" w:ascii="宋体" w:hAnsi="宋体"/>
          <w:color w:val="auto"/>
          <w:sz w:val="24"/>
          <w:highlight w:val="none"/>
        </w:rPr>
        <w:t>1．投标人提供货物的制造标准、安装标准、验收标准及技术规范等有关资料应符合国家规定的有关标准、规范要求。</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2．投标人应保证提供原产、正宗品牌货物，不得用伪劣货物替代；如出现上述质量问题采购单位有权退货并解除合同。</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3．在生产过程或验收过程中发现中标供应商对中标货物进行分包、转包，采购单位有权单方解除合同并有权拒付全部货款。所有中标产品须有中标供应商的注册商标。</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4．货物安装所需的配件或附加件，在合同签订前由中标供应商提交具体清单给</w:t>
      </w:r>
      <w:r>
        <w:rPr>
          <w:rFonts w:hint="eastAsia" w:ascii="宋体" w:hAnsi="宋体"/>
          <w:bCs/>
          <w:color w:val="auto"/>
          <w:sz w:val="24"/>
          <w:szCs w:val="24"/>
          <w:highlight w:val="none"/>
        </w:rPr>
        <w:t>使用</w:t>
      </w:r>
      <w:r>
        <w:rPr>
          <w:rFonts w:hint="eastAsia" w:ascii="宋体" w:hAnsi="宋体"/>
          <w:color w:val="auto"/>
          <w:sz w:val="24"/>
          <w:szCs w:val="24"/>
          <w:highlight w:val="none"/>
        </w:rPr>
        <w:t>单位确认。</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5.投标人必须在投标文件中书面承诺：中标后生产前，向使用单位确定所供货物的相关事项，经使用单位书面确认是否增减后方可投入生产。否则，由此产生的一切后果由中标供应商负责。</w:t>
      </w:r>
    </w:p>
    <w:p>
      <w:pPr>
        <w:pStyle w:val="5"/>
        <w:spacing w:line="360" w:lineRule="auto"/>
        <w:ind w:firstLine="480" w:firstLineChars="200"/>
        <w:rPr>
          <w:rFonts w:hAnsi="宋体"/>
          <w:color w:val="auto"/>
          <w:sz w:val="24"/>
          <w:szCs w:val="24"/>
          <w:highlight w:val="none"/>
        </w:rPr>
      </w:pPr>
      <w:r>
        <w:rPr>
          <w:rFonts w:hint="eastAsia" w:hAnsi="宋体"/>
          <w:color w:val="auto"/>
          <w:sz w:val="24"/>
          <w:szCs w:val="24"/>
          <w:highlight w:val="none"/>
        </w:rPr>
        <w:t>6、货物初验：货物运抵采购单位指定地点后由</w:t>
      </w:r>
      <w:r>
        <w:rPr>
          <w:rFonts w:hint="eastAsia" w:hAnsi="宋体"/>
          <w:bCs/>
          <w:color w:val="auto"/>
          <w:sz w:val="24"/>
          <w:szCs w:val="24"/>
          <w:highlight w:val="none"/>
        </w:rPr>
        <w:t>使用</w:t>
      </w:r>
      <w:r>
        <w:rPr>
          <w:rFonts w:hint="eastAsia" w:hAnsi="宋体"/>
          <w:color w:val="auto"/>
          <w:sz w:val="24"/>
          <w:szCs w:val="24"/>
          <w:highlight w:val="none"/>
        </w:rPr>
        <w:t>单位对照采购清单对外观、包装及数量进行验收。到货初验时，中标供应商代表必须在场。同时，中标供应商必须提供货物的相关手续（品牌证书、装箱清单含货物的主附件、原产地证明书、品质保证书、出厂检验报告、合格证书、使用及维护说明书）。每件产品必须说明材质、规格、涂料、粘合剂等及是否含有毒、有害物质等情况。</w:t>
      </w:r>
    </w:p>
    <w:p>
      <w:pPr>
        <w:pStyle w:val="5"/>
        <w:tabs>
          <w:tab w:val="left" w:pos="540"/>
        </w:tabs>
        <w:spacing w:line="360" w:lineRule="auto"/>
        <w:ind w:firstLine="480" w:firstLineChars="200"/>
        <w:rPr>
          <w:rFonts w:hAnsi="宋体"/>
          <w:color w:val="auto"/>
          <w:sz w:val="24"/>
          <w:szCs w:val="24"/>
          <w:highlight w:val="none"/>
        </w:rPr>
      </w:pPr>
      <w:r>
        <w:rPr>
          <w:rFonts w:hint="eastAsia" w:hAnsi="宋体"/>
          <w:color w:val="auto"/>
          <w:sz w:val="24"/>
          <w:szCs w:val="24"/>
          <w:highlight w:val="none"/>
        </w:rPr>
        <w:t>7.最终验收：中标供应商负责现场安装、调试，待性能指标经验收合格后（附验收报告），中标供应商应与采购单位共同签署《厦门市政府采购验收报告》。</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8.投标人必须在投标文件中书面承诺：一旦中标，在生产本次采购家具的过程中，邀请使用单位代表到工厂对产品从进料、开胚、上漆、成型等一系列生产程序进行检查、监督；使用单位根据合同进度可以采用书面函件形式要求投标人对生产情况合理改进，投标人应予书面答复，并制定完整的整改措施。</w:t>
      </w:r>
    </w:p>
    <w:p>
      <w:pPr>
        <w:pStyle w:val="5"/>
        <w:spacing w:line="360" w:lineRule="auto"/>
        <w:ind w:firstLine="480" w:firstLineChars="200"/>
        <w:rPr>
          <w:rFonts w:hAnsi="宋体"/>
          <w:color w:val="auto"/>
          <w:sz w:val="24"/>
          <w:szCs w:val="24"/>
          <w:highlight w:val="none"/>
        </w:rPr>
      </w:pPr>
      <w:r>
        <w:rPr>
          <w:rFonts w:hint="eastAsia" w:hAnsi="宋体"/>
          <w:color w:val="auto"/>
          <w:sz w:val="24"/>
          <w:szCs w:val="24"/>
          <w:highlight w:val="none"/>
        </w:rPr>
        <w:t>9.投标人不得虚报各项技术指标，中标产品若不能符合技术要求、招标文件及合同约定的，采购单位有权退货并单方解除合同，中标供应商除退还所有的货款外，还应向支付合同总价50%的违约金。</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10.投标人必须在投标文件中书面承诺：一旦中标，在保证按招标文件中要求提供的产品数量进行供货外，还应保证能够免费提供足够的样品供使用单位邀请相关部门对其在封闭式的环境中进行开放性的检测；如经检测家具环保等指标达不到国家以及招标文件中的要求，投标人应按中标价的2倍金额赔偿给采购单位。</w:t>
      </w:r>
    </w:p>
    <w:p>
      <w:pPr>
        <w:spacing w:line="360" w:lineRule="auto"/>
        <w:ind w:left="-178" w:leftChars="-85" w:right="359" w:rightChars="171" w:firstLine="361" w:firstLineChars="150"/>
        <w:jc w:val="left"/>
        <w:rPr>
          <w:rFonts w:ascii="宋体" w:hAnsi="宋体"/>
          <w:b/>
          <w:color w:val="auto"/>
          <w:sz w:val="24"/>
          <w:szCs w:val="24"/>
          <w:highlight w:val="none"/>
        </w:rPr>
      </w:pPr>
      <w:r>
        <w:rPr>
          <w:rFonts w:hint="eastAsia" w:ascii="宋体" w:hAnsi="宋体"/>
          <w:b/>
          <w:color w:val="auto"/>
          <w:sz w:val="24"/>
          <w:szCs w:val="24"/>
          <w:highlight w:val="none"/>
        </w:rPr>
        <w:t>六、货物技术服务要求</w:t>
      </w:r>
    </w:p>
    <w:p>
      <w:pPr>
        <w:spacing w:line="360" w:lineRule="auto"/>
        <w:ind w:firstLine="482" w:firstLineChars="200"/>
        <w:rPr>
          <w:rFonts w:ascii="宋体" w:hAnsi="宋体"/>
          <w:b/>
          <w:color w:val="auto"/>
          <w:sz w:val="24"/>
          <w:szCs w:val="24"/>
          <w:highlight w:val="none"/>
        </w:rPr>
      </w:pPr>
      <w:r>
        <w:rPr>
          <w:rFonts w:hint="eastAsia" w:ascii="宋体" w:hAnsi="宋体"/>
          <w:b/>
          <w:color w:val="auto"/>
          <w:sz w:val="24"/>
          <w:szCs w:val="24"/>
          <w:highlight w:val="none"/>
        </w:rPr>
        <w:t>*1.投标人应在投标文件中提供详细的质量保证期及售后服务方案承诺，并加盖单位公章。承诺至少应包含以下内容①所有货物质量保证期至少为5年，自最终验收合格之日起算；②所有货物如无特别指明售后服务要求, 投标人到现场的售后服务及技术支持响应时间不能超过2小时；小件货物的修复时间或更换时间不能超过2个小时，大件货物的修复时间或更换时间不能超过24个小时(从提出现场服务要求开始算起)。24小时内不能修复的须提供备用货物；③在质量保证期内，因质量问题而发生损坏或不能进行正常使用时，投标人应免费进行维修或更换；④在质量保证期内，安排至少两名专人与使用单位建立服务联系。</w:t>
      </w:r>
    </w:p>
    <w:p>
      <w:pPr>
        <w:pStyle w:val="5"/>
        <w:spacing w:line="360" w:lineRule="auto"/>
        <w:ind w:firstLine="480" w:firstLineChars="200"/>
        <w:rPr>
          <w:rFonts w:hAnsi="宋体"/>
          <w:color w:val="auto"/>
          <w:sz w:val="24"/>
          <w:szCs w:val="24"/>
          <w:highlight w:val="none"/>
        </w:rPr>
      </w:pPr>
      <w:r>
        <w:rPr>
          <w:rFonts w:hint="eastAsia" w:hAnsi="宋体"/>
          <w:color w:val="auto"/>
          <w:sz w:val="24"/>
          <w:szCs w:val="24"/>
          <w:highlight w:val="none"/>
        </w:rPr>
        <w:t>2.投标人应单独列出质保期后年维护费用（全包，包括零配件费用等包干计取，按总报价的百分之几报价）,待质保期过后按实际发生的维护情况由投标人提供相应的票据经采购单位确认后结算（结算金额不超过此项报价）。投标人应提供免费技术支持力度等情况。</w:t>
      </w:r>
    </w:p>
    <w:p>
      <w:pPr>
        <w:pStyle w:val="5"/>
        <w:spacing w:line="360" w:lineRule="auto"/>
        <w:ind w:firstLine="480" w:firstLineChars="200"/>
        <w:rPr>
          <w:rFonts w:hAnsi="宋体"/>
          <w:color w:val="auto"/>
          <w:sz w:val="24"/>
          <w:szCs w:val="24"/>
          <w:highlight w:val="none"/>
        </w:rPr>
      </w:pPr>
      <w:r>
        <w:rPr>
          <w:rFonts w:hint="eastAsia" w:hAnsi="宋体"/>
          <w:color w:val="auto"/>
          <w:sz w:val="24"/>
          <w:szCs w:val="24"/>
          <w:highlight w:val="none"/>
        </w:rPr>
        <w:t>3.投标人能长期提供良好的技术支持及备品备件的优惠供应。</w:t>
      </w:r>
    </w:p>
    <w:p>
      <w:pPr>
        <w:pStyle w:val="5"/>
        <w:spacing w:line="360" w:lineRule="auto"/>
        <w:ind w:firstLine="480" w:firstLineChars="200"/>
        <w:rPr>
          <w:rFonts w:hAnsi="宋体"/>
          <w:color w:val="auto"/>
          <w:sz w:val="24"/>
          <w:szCs w:val="24"/>
          <w:highlight w:val="none"/>
        </w:rPr>
      </w:pPr>
      <w:r>
        <w:rPr>
          <w:rFonts w:hint="eastAsia" w:hAnsi="宋体"/>
          <w:color w:val="auto"/>
          <w:sz w:val="24"/>
          <w:szCs w:val="24"/>
          <w:highlight w:val="none"/>
        </w:rPr>
        <w:t>4.投标人如有其它更好的售后服务应在方案中书面声明。</w:t>
      </w:r>
    </w:p>
    <w:p>
      <w:pPr>
        <w:spacing w:line="360" w:lineRule="auto"/>
        <w:ind w:right="359" w:rightChars="171"/>
        <w:rPr>
          <w:rFonts w:ascii="宋体" w:hAnsi="宋体"/>
          <w:b/>
          <w:color w:val="auto"/>
          <w:sz w:val="24"/>
          <w:szCs w:val="24"/>
          <w:highlight w:val="none"/>
        </w:rPr>
      </w:pPr>
      <w:r>
        <w:rPr>
          <w:rFonts w:hint="eastAsia" w:ascii="宋体" w:hAnsi="宋体"/>
          <w:b/>
          <w:color w:val="auto"/>
          <w:sz w:val="24"/>
          <w:szCs w:val="24"/>
          <w:highlight w:val="none"/>
        </w:rPr>
        <w:t>七、货物报价</w:t>
      </w:r>
    </w:p>
    <w:p>
      <w:pPr>
        <w:spacing w:line="360" w:lineRule="auto"/>
        <w:ind w:firstLine="482" w:firstLineChars="200"/>
        <w:rPr>
          <w:rFonts w:ascii="宋体" w:hAnsi="宋体"/>
          <w:b/>
          <w:color w:val="auto"/>
          <w:sz w:val="24"/>
          <w:szCs w:val="24"/>
          <w:highlight w:val="none"/>
        </w:rPr>
      </w:pPr>
      <w:r>
        <w:rPr>
          <w:rFonts w:hint="eastAsia" w:ascii="宋体" w:hAnsi="宋体"/>
          <w:b/>
          <w:color w:val="auto"/>
          <w:sz w:val="24"/>
          <w:szCs w:val="24"/>
          <w:highlight w:val="none"/>
        </w:rPr>
        <w:t>*1.投标人须以人民币报价且总报价应含货物费、运至采购单位指定地点的运输费、保险费和伴随服务费（包括产品检验检测）、安装调试（包括安装所需的辅材、配件等）费用、税收及售后服务等可能产生的一切费用，报价方式为指定目的地价。采购单位不接受有选择的报价。</w:t>
      </w:r>
    </w:p>
    <w:p>
      <w:pPr>
        <w:spacing w:line="360" w:lineRule="auto"/>
        <w:ind w:firstLine="482" w:firstLineChars="200"/>
        <w:rPr>
          <w:rFonts w:ascii="宋体" w:hAnsi="宋体"/>
          <w:b/>
          <w:color w:val="auto"/>
          <w:sz w:val="24"/>
          <w:szCs w:val="24"/>
          <w:highlight w:val="none"/>
        </w:rPr>
      </w:pPr>
      <w:r>
        <w:rPr>
          <w:rFonts w:hint="eastAsia" w:ascii="宋体" w:hAnsi="宋体"/>
          <w:b/>
          <w:color w:val="auto"/>
          <w:sz w:val="24"/>
          <w:szCs w:val="24"/>
          <w:highlight w:val="none"/>
        </w:rPr>
        <w:t>*2.</w:t>
      </w:r>
      <w:r>
        <w:rPr>
          <w:rFonts w:hint="eastAsia" w:ascii="宋体" w:hAnsi="宋体" w:eastAsia="宋体" w:cs="宋体"/>
          <w:b/>
          <w:bCs w:val="0"/>
          <w:color w:val="auto"/>
          <w:kern w:val="2"/>
          <w:sz w:val="24"/>
          <w:szCs w:val="24"/>
          <w:highlight w:val="none"/>
          <w:lang w:val="en-US" w:eastAsia="zh-CN" w:bidi="ar"/>
        </w:rPr>
        <w:t>本</w:t>
      </w:r>
      <w:r>
        <w:rPr>
          <w:rFonts w:hint="eastAsia" w:ascii="宋体" w:hAnsi="宋体" w:eastAsia="宋体" w:cs="宋体"/>
          <w:b/>
          <w:bCs w:val="0"/>
          <w:color w:val="auto"/>
          <w:spacing w:val="4"/>
          <w:kern w:val="2"/>
          <w:sz w:val="24"/>
          <w:szCs w:val="24"/>
          <w:highlight w:val="none"/>
          <w:lang w:val="en-US" w:eastAsia="zh-CN" w:bidi="ar"/>
        </w:rPr>
        <w:t>项目的采购预算为人民币</w:t>
      </w:r>
      <w:r>
        <w:rPr>
          <w:rFonts w:hint="eastAsia" w:ascii="宋体" w:hAnsi="宋体"/>
          <w:b/>
          <w:color w:val="auto"/>
          <w:sz w:val="24"/>
          <w:szCs w:val="24"/>
          <w:highlight w:val="none"/>
          <w:lang w:val="en-US" w:eastAsia="zh-CN"/>
        </w:rPr>
        <w:t>449</w:t>
      </w:r>
      <w:r>
        <w:rPr>
          <w:rFonts w:hint="eastAsia" w:ascii="宋体" w:hAnsi="宋体" w:eastAsia="宋体" w:cs="宋体"/>
          <w:b/>
          <w:bCs w:val="0"/>
          <w:color w:val="auto"/>
          <w:spacing w:val="4"/>
          <w:kern w:val="2"/>
          <w:sz w:val="24"/>
          <w:szCs w:val="24"/>
          <w:highlight w:val="none"/>
          <w:lang w:val="en-US" w:eastAsia="zh-CN" w:bidi="ar"/>
        </w:rPr>
        <w:t>万元，采购预算为总报价的最高限价，任何一次总报价超过采购预算的属无效投标</w:t>
      </w:r>
      <w:r>
        <w:rPr>
          <w:rFonts w:hint="eastAsia" w:ascii="宋体" w:hAnsi="宋体"/>
          <w:b/>
          <w:color w:val="auto"/>
          <w:sz w:val="24"/>
          <w:szCs w:val="24"/>
          <w:highlight w:val="none"/>
        </w:rPr>
        <w:t>。</w:t>
      </w:r>
    </w:p>
    <w:p>
      <w:pPr>
        <w:spacing w:line="360" w:lineRule="auto"/>
        <w:ind w:firstLine="498" w:firstLineChars="200"/>
        <w:rPr>
          <w:rFonts w:ascii="宋体" w:hAnsi="宋体"/>
          <w:b/>
          <w:color w:val="auto"/>
          <w:sz w:val="24"/>
          <w:szCs w:val="24"/>
          <w:highlight w:val="none"/>
        </w:rPr>
      </w:pPr>
      <w:r>
        <w:rPr>
          <w:rFonts w:hint="eastAsia" w:ascii="宋体" w:hAnsi="宋体"/>
          <w:b/>
          <w:color w:val="auto"/>
          <w:spacing w:val="4"/>
          <w:sz w:val="24"/>
          <w:highlight w:val="none"/>
        </w:rPr>
        <w:t>3、</w:t>
      </w:r>
      <w:r>
        <w:rPr>
          <w:rFonts w:hint="eastAsia" w:ascii="宋体" w:hAnsi="宋体"/>
          <w:b/>
          <w:color w:val="auto"/>
          <w:sz w:val="24"/>
          <w:highlight w:val="none"/>
        </w:rPr>
        <w:t>报价应分单价、小计、总价。</w:t>
      </w:r>
    </w:p>
    <w:p>
      <w:pPr>
        <w:spacing w:line="360" w:lineRule="auto"/>
        <w:ind w:right="359" w:rightChars="171"/>
        <w:rPr>
          <w:rFonts w:ascii="宋体" w:hAnsi="宋体"/>
          <w:color w:val="auto"/>
          <w:sz w:val="24"/>
          <w:szCs w:val="24"/>
          <w:highlight w:val="none"/>
        </w:rPr>
      </w:pPr>
      <w:r>
        <w:rPr>
          <w:rFonts w:hint="eastAsia" w:ascii="宋体" w:hAnsi="宋体"/>
          <w:b/>
          <w:color w:val="auto"/>
          <w:sz w:val="24"/>
          <w:szCs w:val="24"/>
          <w:highlight w:val="none"/>
        </w:rPr>
        <w:t>八、付款方式</w:t>
      </w:r>
      <w:r>
        <w:rPr>
          <w:rFonts w:hint="eastAsia" w:ascii="宋体" w:hAnsi="宋体"/>
          <w:color w:val="auto"/>
          <w:kern w:val="0"/>
          <w:sz w:val="24"/>
          <w:szCs w:val="24"/>
          <w:highlight w:val="none"/>
        </w:rPr>
        <w:br w:type="textWrapping"/>
      </w:r>
      <w:r>
        <w:rPr>
          <w:rFonts w:hint="eastAsia" w:ascii="宋体" w:hAnsi="宋体"/>
          <w:color w:val="auto"/>
          <w:kern w:val="0"/>
          <w:sz w:val="24"/>
          <w:szCs w:val="24"/>
          <w:highlight w:val="none"/>
        </w:rPr>
        <w:t xml:space="preserve">   1.</w:t>
      </w:r>
      <w:r>
        <w:rPr>
          <w:rFonts w:hint="eastAsia" w:ascii="宋体" w:hAnsi="宋体"/>
          <w:color w:val="auto"/>
          <w:sz w:val="24"/>
          <w:szCs w:val="24"/>
          <w:highlight w:val="none"/>
        </w:rPr>
        <w:t>合同签订后</w:t>
      </w:r>
      <w:r>
        <w:rPr>
          <w:rFonts w:ascii="宋体" w:hAnsi="宋体"/>
          <w:color w:val="auto"/>
          <w:sz w:val="24"/>
          <w:szCs w:val="24"/>
          <w:highlight w:val="none"/>
        </w:rPr>
        <w:t>，买方向卖方支付合同总价</w:t>
      </w:r>
      <w:r>
        <w:rPr>
          <w:rFonts w:hint="eastAsia" w:ascii="宋体" w:hAnsi="宋体"/>
          <w:color w:val="auto"/>
          <w:sz w:val="24"/>
          <w:szCs w:val="24"/>
          <w:highlight w:val="none"/>
        </w:rPr>
        <w:t>的50</w:t>
      </w:r>
      <w:r>
        <w:rPr>
          <w:rFonts w:ascii="宋体" w:hAnsi="宋体"/>
          <w:color w:val="auto"/>
          <w:sz w:val="24"/>
          <w:szCs w:val="24"/>
          <w:highlight w:val="none"/>
        </w:rPr>
        <w:t xml:space="preserve"> %</w:t>
      </w:r>
      <w:r>
        <w:rPr>
          <w:rFonts w:hint="eastAsia" w:ascii="宋体" w:hAnsi="宋体"/>
          <w:color w:val="auto"/>
          <w:sz w:val="24"/>
          <w:szCs w:val="24"/>
          <w:highlight w:val="none"/>
        </w:rPr>
        <w:t>作为</w:t>
      </w:r>
      <w:r>
        <w:rPr>
          <w:rFonts w:ascii="宋体" w:hAnsi="宋体"/>
          <w:color w:val="auto"/>
          <w:sz w:val="24"/>
          <w:szCs w:val="24"/>
          <w:highlight w:val="none"/>
        </w:rPr>
        <w:t>预付款。</w:t>
      </w:r>
    </w:p>
    <w:p>
      <w:pPr>
        <w:tabs>
          <w:tab w:val="left" w:pos="5130"/>
        </w:tabs>
        <w:spacing w:line="360" w:lineRule="auto"/>
        <w:ind w:firstLine="360" w:firstLineChars="150"/>
        <w:rPr>
          <w:rFonts w:ascii="宋体" w:hAnsi="宋体"/>
          <w:color w:val="auto"/>
          <w:sz w:val="24"/>
          <w:szCs w:val="24"/>
          <w:highlight w:val="none"/>
        </w:rPr>
      </w:pPr>
      <w:r>
        <w:rPr>
          <w:rFonts w:hint="eastAsia" w:ascii="宋体" w:hAnsi="宋体"/>
          <w:color w:val="auto"/>
          <w:sz w:val="24"/>
          <w:szCs w:val="24"/>
          <w:highlight w:val="none"/>
        </w:rPr>
        <w:t>2.</w:t>
      </w:r>
      <w:r>
        <w:rPr>
          <w:rFonts w:ascii="宋体" w:hAnsi="宋体"/>
          <w:color w:val="auto"/>
          <w:sz w:val="24"/>
          <w:szCs w:val="24"/>
          <w:highlight w:val="none"/>
        </w:rPr>
        <w:t>卖方供货安装、调试完毕，</w:t>
      </w:r>
      <w:r>
        <w:rPr>
          <w:rFonts w:hint="eastAsia" w:ascii="宋体" w:hAnsi="宋体"/>
          <w:color w:val="auto"/>
          <w:sz w:val="24"/>
          <w:szCs w:val="24"/>
          <w:highlight w:val="none"/>
        </w:rPr>
        <w:t>使用单位</w:t>
      </w:r>
      <w:r>
        <w:rPr>
          <w:rFonts w:ascii="宋体" w:hAnsi="宋体"/>
          <w:color w:val="auto"/>
          <w:sz w:val="24"/>
          <w:szCs w:val="24"/>
          <w:highlight w:val="none"/>
        </w:rPr>
        <w:t>验收合格后，卖方开具全部货物清单给使用单位，买方向卖方支</w:t>
      </w:r>
      <w:r>
        <w:rPr>
          <w:rFonts w:hint="eastAsia" w:ascii="宋体" w:hAnsi="宋体"/>
          <w:color w:val="auto"/>
          <w:sz w:val="24"/>
          <w:szCs w:val="24"/>
          <w:highlight w:val="none"/>
        </w:rPr>
        <w:t>付本合同剩余的50</w:t>
      </w:r>
      <w:r>
        <w:rPr>
          <w:rFonts w:ascii="宋体" w:hAnsi="宋体"/>
          <w:color w:val="auto"/>
          <w:sz w:val="24"/>
          <w:szCs w:val="24"/>
          <w:highlight w:val="none"/>
        </w:rPr>
        <w:t>%的款项。</w:t>
      </w:r>
    </w:p>
    <w:p>
      <w:pPr>
        <w:spacing w:line="360" w:lineRule="auto"/>
        <w:rPr>
          <w:rFonts w:ascii="宋体" w:hAnsi="宋体"/>
          <w:b/>
          <w:color w:val="auto"/>
          <w:sz w:val="24"/>
          <w:szCs w:val="24"/>
          <w:highlight w:val="none"/>
        </w:rPr>
      </w:pPr>
      <w:r>
        <w:rPr>
          <w:rFonts w:hint="eastAsia" w:ascii="宋体" w:hAnsi="宋体"/>
          <w:b/>
          <w:color w:val="auto"/>
          <w:sz w:val="24"/>
          <w:szCs w:val="24"/>
          <w:highlight w:val="none"/>
        </w:rPr>
        <w:t>九、合同签订</w:t>
      </w:r>
    </w:p>
    <w:p>
      <w:pPr>
        <w:spacing w:line="360" w:lineRule="auto"/>
        <w:ind w:firstLine="470" w:firstLineChars="196"/>
        <w:rPr>
          <w:rFonts w:ascii="宋体" w:hAnsi="宋体"/>
          <w:color w:val="auto"/>
          <w:sz w:val="24"/>
          <w:szCs w:val="24"/>
          <w:highlight w:val="none"/>
        </w:rPr>
      </w:pPr>
      <w:r>
        <w:rPr>
          <w:rFonts w:hint="eastAsia" w:ascii="宋体" w:hAnsi="宋体"/>
          <w:color w:val="auto"/>
          <w:sz w:val="24"/>
          <w:szCs w:val="24"/>
          <w:highlight w:val="none"/>
        </w:rPr>
        <w:t>1.中标供应商接到中标通知书后20个日历日内，持中标通知书与采购单位签订合同。</w:t>
      </w:r>
    </w:p>
    <w:p>
      <w:pPr>
        <w:spacing w:line="360" w:lineRule="auto"/>
        <w:ind w:firstLine="378"/>
        <w:rPr>
          <w:rFonts w:ascii="宋体" w:hAnsi="宋体"/>
          <w:color w:val="auto"/>
          <w:sz w:val="24"/>
          <w:szCs w:val="24"/>
          <w:highlight w:val="none"/>
        </w:rPr>
      </w:pPr>
      <w:r>
        <w:rPr>
          <w:rFonts w:hint="eastAsia" w:ascii="宋体" w:hAnsi="宋体"/>
          <w:color w:val="auto"/>
          <w:sz w:val="24"/>
          <w:szCs w:val="24"/>
          <w:highlight w:val="none"/>
        </w:rPr>
        <w:t>2.招标文件、投标文件均作为合同订立的基础，为合同组成部分。</w:t>
      </w:r>
    </w:p>
    <w:p>
      <w:pPr>
        <w:widowControl/>
        <w:spacing w:line="360" w:lineRule="auto"/>
        <w:ind w:right="-63" w:rightChars="-30"/>
        <w:jc w:val="left"/>
        <w:rPr>
          <w:rFonts w:ascii="宋体" w:hAnsi="宋体"/>
          <w:color w:val="auto"/>
          <w:sz w:val="24"/>
          <w:szCs w:val="24"/>
          <w:highlight w:val="none"/>
        </w:rPr>
      </w:pPr>
      <w:r>
        <w:rPr>
          <w:rFonts w:hint="eastAsia" w:ascii="宋体" w:hAnsi="宋体"/>
          <w:b/>
          <w:color w:val="auto"/>
          <w:sz w:val="24"/>
          <w:szCs w:val="24"/>
          <w:highlight w:val="none"/>
        </w:rPr>
        <w:t xml:space="preserve">十、其他事项 </w:t>
      </w:r>
    </w:p>
    <w:p>
      <w:pPr>
        <w:spacing w:line="360" w:lineRule="auto"/>
        <w:ind w:firstLine="482" w:firstLineChars="200"/>
        <w:rPr>
          <w:rFonts w:ascii="宋体" w:hAnsi="宋体"/>
          <w:b/>
          <w:color w:val="auto"/>
          <w:sz w:val="24"/>
          <w:szCs w:val="24"/>
          <w:highlight w:val="none"/>
        </w:rPr>
      </w:pPr>
      <w:r>
        <w:rPr>
          <w:rFonts w:hint="eastAsia" w:ascii="宋体" w:hAnsi="宋体"/>
          <w:b/>
          <w:color w:val="auto"/>
          <w:sz w:val="24"/>
          <w:szCs w:val="24"/>
          <w:highlight w:val="none"/>
        </w:rPr>
        <w:t>1.交付使用期：合同签订之日起</w:t>
      </w:r>
      <w:r>
        <w:rPr>
          <w:rFonts w:hint="eastAsia" w:ascii="宋体" w:hAnsi="宋体"/>
          <w:b/>
          <w:bCs/>
          <w:color w:val="auto"/>
          <w:sz w:val="24"/>
          <w:szCs w:val="24"/>
          <w:highlight w:val="none"/>
        </w:rPr>
        <w:t>30</w:t>
      </w:r>
      <w:r>
        <w:rPr>
          <w:rFonts w:hint="eastAsia" w:ascii="宋体" w:hAnsi="宋体"/>
          <w:b/>
          <w:color w:val="auto"/>
          <w:sz w:val="24"/>
          <w:szCs w:val="24"/>
          <w:highlight w:val="none"/>
        </w:rPr>
        <w:t>个日历日内（含交货及安装）。</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2.投标人提供公司的基本情况、业绩、主要技术人员及资信证明。</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3．投标人在投标文件中详细说明所投货物的技术水平、性能等(材质构成、油漆、内外部结构、五金配件、制造工艺、生产流程、加工设备及其它)。</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4．附件及零配件：投标人应列出备品/备件及附件的清单及价格。</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5．投标人认为有必要提供的其它技术资料。</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6．投标人若有其它方面的特殊功能及优惠条件，可在投标文件中注明。</w:t>
      </w:r>
    </w:p>
    <w:p>
      <w:pPr>
        <w:spacing w:line="360" w:lineRule="auto"/>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7</w:t>
      </w:r>
      <w:r>
        <w:rPr>
          <w:rFonts w:hint="eastAsia" w:ascii="宋体" w:hAnsi="宋体"/>
          <w:color w:val="auto"/>
          <w:sz w:val="24"/>
          <w:szCs w:val="24"/>
          <w:highlight w:val="none"/>
        </w:rPr>
        <w:t>．如</w:t>
      </w:r>
      <w:r>
        <w:rPr>
          <w:rFonts w:hint="eastAsia" w:ascii="宋体" w:hAnsi="宋体"/>
          <w:bCs/>
          <w:color w:val="auto"/>
          <w:sz w:val="24"/>
          <w:szCs w:val="24"/>
          <w:highlight w:val="none"/>
        </w:rPr>
        <w:t>采购单位对采购数量有所调整，将按中标单价调整合同总价，中标供应商不得有异议。如款式及型号有所变动必须经采购单位书面确认，涉及单价变动的以中标单价为基准，由采购单位和中标供应商协商确定。</w:t>
      </w:r>
    </w:p>
    <w:p>
      <w:pPr>
        <w:tabs>
          <w:tab w:val="left" w:pos="5130"/>
        </w:tabs>
        <w:spacing w:line="360" w:lineRule="auto"/>
        <w:ind w:firstLine="480" w:firstLineChars="200"/>
        <w:rPr>
          <w:rFonts w:ascii="宋体" w:hAnsi="宋体"/>
          <w:color w:val="auto"/>
          <w:sz w:val="24"/>
          <w:highlight w:val="none"/>
        </w:rPr>
      </w:pPr>
    </w:p>
    <w:p>
      <w:pPr>
        <w:tabs>
          <w:tab w:val="left" w:pos="5130"/>
        </w:tabs>
        <w:spacing w:line="360" w:lineRule="auto"/>
        <w:ind w:firstLine="560" w:firstLineChars="200"/>
        <w:rPr>
          <w:rFonts w:ascii="宋体" w:hAnsi="宋体" w:cs="宋体"/>
          <w:color w:val="auto"/>
          <w:sz w:val="28"/>
          <w:szCs w:val="28"/>
          <w:highlight w:val="none"/>
        </w:rPr>
      </w:pPr>
    </w:p>
    <w:p>
      <w:pPr>
        <w:tabs>
          <w:tab w:val="left" w:pos="5130"/>
        </w:tabs>
        <w:spacing w:line="360" w:lineRule="auto"/>
        <w:ind w:firstLine="560" w:firstLineChars="200"/>
        <w:rPr>
          <w:rFonts w:ascii="宋体" w:hAnsi="宋体" w:cs="宋体"/>
          <w:color w:val="auto"/>
          <w:sz w:val="28"/>
          <w:szCs w:val="28"/>
          <w:highlight w:val="none"/>
        </w:rPr>
      </w:pPr>
    </w:p>
    <w:p>
      <w:pPr>
        <w:tabs>
          <w:tab w:val="left" w:pos="5130"/>
        </w:tabs>
        <w:spacing w:line="360" w:lineRule="auto"/>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 xml:space="preserve"> </w:t>
      </w:r>
    </w:p>
    <w:p>
      <w:pPr>
        <w:tabs>
          <w:tab w:val="left" w:pos="5130"/>
        </w:tabs>
        <w:spacing w:line="360" w:lineRule="auto"/>
        <w:ind w:firstLine="560" w:firstLineChars="200"/>
        <w:rPr>
          <w:rFonts w:ascii="宋体" w:hAnsi="宋体" w:cs="宋体"/>
          <w:color w:val="auto"/>
          <w:sz w:val="28"/>
          <w:szCs w:val="28"/>
          <w:highlight w:val="none"/>
        </w:rPr>
      </w:pPr>
    </w:p>
    <w:p>
      <w:pPr>
        <w:tabs>
          <w:tab w:val="left" w:pos="5130"/>
        </w:tabs>
        <w:spacing w:line="360" w:lineRule="auto"/>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附表：</w:t>
      </w:r>
    </w:p>
    <w:p>
      <w:pPr>
        <w:spacing w:line="360" w:lineRule="auto"/>
        <w:ind w:firstLine="630" w:firstLineChars="196"/>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技术规格及商务响应表</w:t>
      </w:r>
    </w:p>
    <w:p>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（投标人应针对下表中体现的招标要求及“投标人须知前附表2:资格性、符合性检查表”内容逐条说明投标响应情况，并附上相应资料，投标响应对应的页码以及偏离说明）</w:t>
      </w:r>
    </w:p>
    <w:p>
      <w:pPr>
        <w:spacing w:line="360" w:lineRule="auto"/>
        <w:rPr>
          <w:rFonts w:hint="eastAsia" w:ascii="宋体" w:hAnsi="宋体" w:eastAsia="宋体" w:cs="宋体"/>
          <w:b/>
          <w:color w:val="auto"/>
          <w:sz w:val="24"/>
          <w:szCs w:val="24"/>
          <w:highlight w:val="none"/>
        </w:rPr>
      </w:pPr>
    </w:p>
    <w:tbl>
      <w:tblPr>
        <w:tblStyle w:val="14"/>
        <w:tblW w:w="102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707"/>
        <w:gridCol w:w="709"/>
        <w:gridCol w:w="5386"/>
        <w:gridCol w:w="779"/>
        <w:gridCol w:w="935"/>
        <w:gridCol w:w="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762"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招标要求</w:t>
            </w:r>
          </w:p>
        </w:tc>
        <w:tc>
          <w:tcPr>
            <w:tcW w:w="2489"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合同包/品目号</w:t>
            </w:r>
          </w:p>
        </w:tc>
        <w:tc>
          <w:tcPr>
            <w:tcW w:w="7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w:t>
            </w:r>
          </w:p>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w:t>
            </w:r>
          </w:p>
        </w:tc>
        <w:tc>
          <w:tcPr>
            <w:tcW w:w="7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w:t>
            </w:r>
          </w:p>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条目号</w:t>
            </w:r>
          </w:p>
        </w:tc>
        <w:tc>
          <w:tcPr>
            <w:tcW w:w="53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招标文件要求</w:t>
            </w: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投标响应情况</w:t>
            </w: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投标响应对应的页码</w:t>
            </w: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restart"/>
            <w:tcBorders>
              <w:top w:val="single" w:color="auto" w:sz="4" w:space="0"/>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XM2024-DZ0019</w:t>
            </w:r>
          </w:p>
        </w:tc>
        <w:tc>
          <w:tcPr>
            <w:tcW w:w="707" w:type="dxa"/>
            <w:vMerge w:val="restart"/>
            <w:tcBorders>
              <w:top w:val="single" w:color="auto" w:sz="4" w:space="0"/>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组合家具（墩上学校）</w:t>
            </w:r>
          </w:p>
        </w:tc>
        <w:tc>
          <w:tcPr>
            <w:tcW w:w="709" w:type="dxa"/>
            <w:tcBorders>
              <w:top w:val="single" w:color="auto" w:sz="4" w:space="0"/>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28"/>
              <w:jc w:val="left"/>
              <w:rPr>
                <w:rFonts w:hint="default" w:ascii="宋体" w:hAnsi="宋体" w:cs="Courier New"/>
                <w:color w:val="auto"/>
                <w:sz w:val="24"/>
                <w:szCs w:val="24"/>
                <w:highlight w:val="none"/>
              </w:rPr>
            </w:pPr>
            <w:r>
              <w:rPr>
                <w:rFonts w:hint="eastAsia" w:ascii="宋体" w:hAnsi="宋体" w:cs="Courier New"/>
                <w:b/>
                <w:color w:val="auto"/>
                <w:sz w:val="24"/>
                <w:szCs w:val="24"/>
                <w:highlight w:val="none"/>
              </w:rPr>
              <w:t>一、采购项目一览表</w:t>
            </w:r>
          </w:p>
          <w:p>
            <w:pPr>
              <w:keepNext w:val="0"/>
              <w:keepLines w:val="0"/>
              <w:suppressLineNumbers w:val="0"/>
              <w:tabs>
                <w:tab w:val="left" w:pos="5130"/>
              </w:tabs>
              <w:spacing w:before="0" w:beforeAutospacing="0" w:after="0" w:afterAutospacing="0" w:line="360" w:lineRule="auto"/>
              <w:ind w:left="0" w:right="0" w:firstLine="482" w:firstLineChars="200"/>
              <w:rPr>
                <w:rFonts w:hint="default" w:ascii="宋体" w:hAnsi="宋体" w:cs="Courier New"/>
                <w:b/>
                <w:color w:val="auto"/>
                <w:sz w:val="24"/>
                <w:szCs w:val="24"/>
                <w:highlight w:val="none"/>
              </w:rPr>
            </w:pPr>
            <w:r>
              <w:rPr>
                <w:rFonts w:hint="eastAsia" w:ascii="宋体" w:hAnsi="宋体" w:cs="Courier New"/>
                <w:b/>
                <w:color w:val="auto"/>
                <w:sz w:val="24"/>
                <w:szCs w:val="24"/>
                <w:highlight w:val="none"/>
              </w:rPr>
              <w:t>详见附件1：《采购清单》。</w:t>
            </w:r>
          </w:p>
          <w:p>
            <w:pPr>
              <w:keepNext w:val="0"/>
              <w:keepLines w:val="0"/>
              <w:suppressLineNumbers w:val="0"/>
              <w:tabs>
                <w:tab w:val="left" w:pos="5130"/>
              </w:tabs>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color w:val="auto"/>
                <w:sz w:val="24"/>
                <w:szCs w:val="24"/>
                <w:highlight w:val="none"/>
              </w:rPr>
              <w:t>采购清单中所描述产品的规格尺寸，没有幅度要求的，允许正负偏离1%以内。</w:t>
            </w: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tcBorders>
              <w:top w:val="single" w:color="auto" w:sz="4" w:space="0"/>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0" w:right="28"/>
              <w:jc w:val="left"/>
              <w:rPr>
                <w:rFonts w:hint="default" w:ascii="宋体" w:hAnsi="宋体"/>
                <w:b/>
                <w:color w:val="auto"/>
                <w:sz w:val="24"/>
                <w:szCs w:val="24"/>
                <w:highlight w:val="none"/>
              </w:rPr>
            </w:pPr>
            <w:r>
              <w:rPr>
                <w:rFonts w:hint="default" w:ascii="宋体" w:hAnsi="宋体"/>
                <w:b/>
                <w:color w:val="auto"/>
                <w:sz w:val="24"/>
                <w:szCs w:val="24"/>
                <w:highlight w:val="none"/>
              </w:rPr>
              <w:t>二、</w:t>
            </w:r>
            <w:r>
              <w:rPr>
                <w:rFonts w:hint="eastAsia" w:ascii="宋体" w:hAnsi="宋体"/>
                <w:b/>
                <w:color w:val="auto"/>
                <w:sz w:val="24"/>
                <w:szCs w:val="24"/>
                <w:highlight w:val="none"/>
              </w:rPr>
              <w:t>采购要求</w:t>
            </w:r>
          </w:p>
          <w:p>
            <w:pPr>
              <w:keepNext w:val="0"/>
              <w:keepLines w:val="0"/>
              <w:suppressLineNumbers w:val="0"/>
              <w:spacing w:before="0" w:beforeAutospacing="0" w:after="0" w:afterAutospacing="0" w:line="360" w:lineRule="auto"/>
              <w:ind w:left="0" w:right="0" w:firstLine="480" w:firstLineChars="200"/>
              <w:rPr>
                <w:rFonts w:hint="default" w:ascii="宋体" w:hAnsi="宋体"/>
                <w:bCs/>
                <w:color w:val="auto"/>
                <w:sz w:val="24"/>
                <w:szCs w:val="24"/>
                <w:highlight w:val="none"/>
              </w:rPr>
            </w:pPr>
            <w:r>
              <w:rPr>
                <w:rFonts w:hint="eastAsia" w:ascii="宋体" w:hAnsi="宋体"/>
                <w:bCs/>
                <w:color w:val="auto"/>
                <w:sz w:val="24"/>
                <w:szCs w:val="24"/>
                <w:highlight w:val="none"/>
              </w:rPr>
              <w:t>1．中标供应商生产前提供具体图纸供使用单位确认方可生产，价格不得调整。</w:t>
            </w:r>
          </w:p>
          <w:p>
            <w:pPr>
              <w:keepNext w:val="0"/>
              <w:keepLines w:val="0"/>
              <w:suppressLineNumbers w:val="0"/>
              <w:spacing w:before="0" w:beforeAutospacing="0" w:after="0" w:afterAutospacing="0" w:line="360" w:lineRule="auto"/>
              <w:ind w:left="0" w:right="0" w:firstLine="480" w:firstLineChars="200"/>
              <w:rPr>
                <w:rFonts w:hint="default" w:ascii="宋体" w:hAnsi="宋体"/>
                <w:bCs/>
                <w:color w:val="auto"/>
                <w:sz w:val="24"/>
                <w:szCs w:val="24"/>
                <w:highlight w:val="none"/>
              </w:rPr>
            </w:pPr>
            <w:r>
              <w:rPr>
                <w:rFonts w:hint="eastAsia" w:ascii="宋体" w:hAnsi="宋体"/>
                <w:bCs/>
                <w:color w:val="auto"/>
                <w:sz w:val="24"/>
                <w:szCs w:val="24"/>
                <w:highlight w:val="none"/>
              </w:rPr>
              <w:t>2．投标人应严格按照招标文件的规格、数量、技术及材质等要求进行报价。</w:t>
            </w:r>
          </w:p>
          <w:p>
            <w:pPr>
              <w:keepNext w:val="0"/>
              <w:keepLines w:val="0"/>
              <w:suppressLineNumbers w:val="0"/>
              <w:spacing w:before="0" w:beforeAutospacing="0" w:after="0" w:afterAutospacing="0" w:line="360" w:lineRule="auto"/>
              <w:ind w:left="0" w:right="0" w:firstLine="480" w:firstLineChars="200"/>
              <w:rPr>
                <w:rFonts w:hint="default" w:ascii="宋体" w:hAnsi="宋体"/>
                <w:bCs/>
                <w:color w:val="auto"/>
                <w:sz w:val="24"/>
                <w:szCs w:val="24"/>
                <w:highlight w:val="none"/>
              </w:rPr>
            </w:pPr>
            <w:r>
              <w:rPr>
                <w:rFonts w:hint="eastAsia" w:ascii="宋体" w:hAnsi="宋体"/>
                <w:bCs/>
                <w:color w:val="auto"/>
                <w:sz w:val="24"/>
                <w:szCs w:val="24"/>
                <w:highlight w:val="none"/>
              </w:rPr>
              <w:t>3．投标人应在投标文件中提供主要生产设备清单（需提供主要生产加工设备、产地、数量、价值）。</w:t>
            </w:r>
          </w:p>
          <w:p>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4．投标人应在投标文件中提供质量管理、技术力量说明（主要生产技术骨干、质管人员的数量和职称）。</w:t>
            </w:r>
          </w:p>
          <w:p>
            <w:pPr>
              <w:pStyle w:val="11"/>
              <w:keepNext w:val="0"/>
              <w:keepLines w:val="0"/>
              <w:suppressLineNumbers w:val="0"/>
              <w:spacing w:before="0" w:beforeAutospacing="0" w:after="0" w:afterAutospacing="0" w:line="360" w:lineRule="auto"/>
              <w:ind w:left="0" w:right="0" w:firstLine="480" w:firstLineChars="200"/>
              <w:rPr>
                <w:rFonts w:hint="default" w:cs="Times New Roman"/>
                <w:color w:val="auto"/>
                <w:kern w:val="2"/>
                <w:highlight w:val="none"/>
              </w:rPr>
            </w:pPr>
            <w:r>
              <w:rPr>
                <w:rFonts w:hint="eastAsia" w:cs="Times New Roman"/>
                <w:color w:val="auto"/>
                <w:kern w:val="2"/>
                <w:highlight w:val="none"/>
              </w:rPr>
              <w:t>5．投标人应根据国家标准(GB/T3324-2008木家具通用技术条件、GB/T3325-2008金属家具通用技术条件、GB 18584-2008木家具中有害物质限量、GB18583—2008 胶粘剂（溶剂型）中有害物质限量、GB18580—2001 人造板及其制品中甲醛释放限量、GB18581—2009 溶剂型木器涂料中有害物质限量、GB18582—2008 内墙涂料中有害物质限量、GB5296.6—2008 消费品使用说明（第6 部分家具）)、部颁标准(QB/T1951.1-2010 木家具、QB/T1951.2-2013 金属家具、QB/T1952.1-2012 软体家具沙发、QB/T2530-2011 木制柜）、人造木质板材执行标准：HBC17－2003、家具执行标准：HJ/T3030-2006、水性涂料执行标准：HJ/T 201─2005、胶粘剂执行标准：HJ/T 220-2005、其他国家及行业标准制作（上述标准若有更新，则以更新后的国家和部门标准执行），并在设计方案中详细说明家具的材料构成及辅材、配件(如材质、质量标准、厚度、产地、品牌、型号等)。</w:t>
            </w:r>
          </w:p>
          <w:p>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6．投标人需在投标文件中提供上述货物的实物图、效果图、生产分解图、货物选用材料的说明文件。</w:t>
            </w:r>
          </w:p>
          <w:p>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7．投标人需将以上货物的参考指标与所投货物的技术指标、参数，在投标文件中分别列出，一一对应。</w:t>
            </w:r>
          </w:p>
          <w:p>
            <w:pPr>
              <w:keepNext w:val="0"/>
              <w:keepLines w:val="0"/>
              <w:widowControl/>
              <w:suppressLineNumbers w:val="0"/>
              <w:spacing w:before="0" w:beforeAutospacing="0" w:after="0" w:afterAutospacing="0" w:line="360" w:lineRule="auto"/>
              <w:ind w:left="0" w:right="0" w:firstLine="482"/>
              <w:jc w:val="left"/>
              <w:rPr>
                <w:rFonts w:hint="default" w:ascii="宋体" w:hAnsi="宋体" w:cs="宋体"/>
                <w:color w:val="auto"/>
                <w:kern w:val="0"/>
                <w:sz w:val="24"/>
                <w:szCs w:val="24"/>
                <w:highlight w:val="none"/>
              </w:rPr>
            </w:pPr>
            <w:r>
              <w:rPr>
                <w:rFonts w:hint="eastAsia" w:ascii="宋体" w:hAnsi="宋体" w:cs="宋体"/>
                <w:bCs/>
                <w:color w:val="auto"/>
                <w:kern w:val="0"/>
                <w:sz w:val="24"/>
                <w:szCs w:val="24"/>
                <w:highlight w:val="none"/>
              </w:rPr>
              <w:t>9.投标人</w:t>
            </w:r>
            <w:r>
              <w:rPr>
                <w:rFonts w:hint="default" w:ascii="宋体" w:hAnsi="宋体" w:cs="宋体"/>
                <w:bCs/>
                <w:color w:val="auto"/>
                <w:kern w:val="0"/>
                <w:sz w:val="24"/>
                <w:szCs w:val="24"/>
                <w:highlight w:val="none"/>
              </w:rPr>
              <w:t>提供的样品款式及尺寸应与图片一致。</w:t>
            </w:r>
          </w:p>
          <w:p>
            <w:pPr>
              <w:keepNext w:val="0"/>
              <w:keepLines w:val="0"/>
              <w:widowControl/>
              <w:suppressLineNumbers w:val="0"/>
              <w:spacing w:before="0" w:beforeAutospacing="0" w:after="0" w:afterAutospacing="0" w:line="360" w:lineRule="auto"/>
              <w:ind w:left="0" w:right="0" w:firstLine="470"/>
              <w:jc w:val="left"/>
              <w:rPr>
                <w:rFonts w:hint="default" w:ascii="宋体" w:hAnsi="宋体" w:cs="宋体"/>
                <w:bCs/>
                <w:color w:val="auto"/>
                <w:kern w:val="0"/>
                <w:sz w:val="24"/>
                <w:szCs w:val="24"/>
                <w:highlight w:val="none"/>
              </w:rPr>
            </w:pPr>
            <w:r>
              <w:rPr>
                <w:rFonts w:hint="eastAsia" w:ascii="宋体" w:hAnsi="宋体" w:cs="宋体"/>
                <w:bCs/>
                <w:color w:val="auto"/>
                <w:kern w:val="0"/>
                <w:sz w:val="24"/>
                <w:szCs w:val="24"/>
                <w:highlight w:val="none"/>
              </w:rPr>
              <w:t>11.招标文件中涉及提供检测报告复印件的，中标后，使用单位将要求中标供应商提供检测报告原件予以核对，中标供应商应在2日内提供检测报告原件。如中标供应商无法提供检测报告原件，或者发现中标供应商提供的检测报告原件与复印件不一致，或者经查询发现检测报告存在造假情形的，采购单位将向采购监管部门提请监督检查，取消中标供应商资格并列入不良行为记录。（投标人须在投标文件中响应满足上述条款要求）。</w:t>
            </w:r>
          </w:p>
          <w:p>
            <w:pPr>
              <w:pStyle w:val="11"/>
              <w:keepNext w:val="0"/>
              <w:keepLines w:val="0"/>
              <w:suppressLineNumbers w:val="0"/>
              <w:shd w:val="clear" w:color="auto" w:fill="FFFFFF"/>
              <w:spacing w:before="0" w:beforeAutospacing="0" w:after="0" w:afterAutospacing="0" w:line="360" w:lineRule="auto"/>
              <w:ind w:left="0" w:right="0"/>
              <w:rPr>
                <w:rFonts w:hint="default"/>
                <w:b/>
                <w:color w:val="auto"/>
                <w:highlight w:val="none"/>
              </w:rPr>
            </w:pPr>
            <w:r>
              <w:rPr>
                <w:rFonts w:hint="eastAsia"/>
                <w:b/>
                <w:color w:val="auto"/>
                <w:highlight w:val="none"/>
              </w:rPr>
              <w:t>四、商务响应要求</w:t>
            </w:r>
          </w:p>
          <w:p>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1.投标人应在投标文件中提供最近三年来在中国，类似项目的合同业绩证明材料（提供项目中标公告或中标通知书及合同复印件，加盖单位公章，原件备查），需提供项目名称、合同金额、中标日期、联系人、用户反馈意见。</w:t>
            </w:r>
          </w:p>
          <w:p>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2.投标人应在投标文件中书面承诺自身已经具备自行生产所投价的全系列产品的能力。</w:t>
            </w:r>
          </w:p>
          <w:p>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3.投标人应在投标文件中提供会计师事务所出具的上年审计报告和最近一期的会计报表及银行出具的资信证明文件；如属新企业需出具当年验资报告。</w:t>
            </w:r>
          </w:p>
          <w:p>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4.投标人应在投标文件中提供近三年以来地级市以上质量检测单位出具的成品抽样检测报告。</w:t>
            </w:r>
          </w:p>
          <w:p>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5.投标人应在投标文件中提供生产合同管理计划保证书一份。</w:t>
            </w:r>
          </w:p>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tcBorders>
              <w:top w:val="single" w:color="auto" w:sz="4" w:space="0"/>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178" w:leftChars="-85" w:right="359" w:rightChars="171" w:firstLine="361" w:firstLineChars="150"/>
              <w:rPr>
                <w:rFonts w:hint="default" w:ascii="宋体" w:hAnsi="宋体"/>
                <w:b/>
                <w:color w:val="auto"/>
                <w:sz w:val="24"/>
                <w:szCs w:val="24"/>
                <w:highlight w:val="none"/>
              </w:rPr>
            </w:pPr>
            <w:r>
              <w:rPr>
                <w:rFonts w:hint="eastAsia" w:ascii="宋体" w:hAnsi="宋体"/>
                <w:b/>
                <w:color w:val="auto"/>
                <w:sz w:val="24"/>
                <w:szCs w:val="24"/>
                <w:highlight w:val="none"/>
              </w:rPr>
              <w:t>五、货物质量标准、验收标准</w:t>
            </w:r>
          </w:p>
          <w:p>
            <w:pPr>
              <w:pStyle w:val="4"/>
              <w:keepNext w:val="0"/>
              <w:keepLines w:val="0"/>
              <w:suppressLineNumbers w:val="0"/>
              <w:spacing w:before="0" w:beforeAutospacing="0" w:after="0" w:afterAutospacing="0" w:line="360" w:lineRule="auto"/>
              <w:ind w:left="0" w:leftChars="0" w:right="0" w:firstLine="480" w:firstLineChars="200"/>
              <w:rPr>
                <w:rFonts w:hint="default" w:ascii="宋体" w:hAnsi="宋体"/>
                <w:color w:val="auto"/>
                <w:sz w:val="24"/>
                <w:highlight w:val="none"/>
              </w:rPr>
            </w:pPr>
            <w:r>
              <w:rPr>
                <w:rFonts w:hint="eastAsia" w:ascii="宋体" w:hAnsi="宋体"/>
                <w:color w:val="auto"/>
                <w:sz w:val="24"/>
                <w:highlight w:val="none"/>
              </w:rPr>
              <w:t>1．投标人提供货物的制造标准、安装标准、验收标准及技术规范等有关资料应符合国家规定的有关标准、规范要求。</w:t>
            </w:r>
          </w:p>
          <w:p>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2．投标人应保证提供原产、正宗品牌货物，不得用伪劣货物替代；如出现上述质量问题采购单位有权退货并解除合同。</w:t>
            </w:r>
          </w:p>
          <w:p>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3．在生产过程或验收过程中发现中标供应商对中标货物进行分包、转包，采购单位有权单方解除合同并有权拒付全部货款。所有中标产品须有中标供应商的注册商标。</w:t>
            </w:r>
          </w:p>
          <w:p>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4．货物安装所需的配件或附加件，在合同签订前由中标供应商提交具体清单给</w:t>
            </w:r>
            <w:r>
              <w:rPr>
                <w:rFonts w:hint="eastAsia" w:ascii="宋体" w:hAnsi="宋体"/>
                <w:bCs/>
                <w:color w:val="auto"/>
                <w:sz w:val="24"/>
                <w:szCs w:val="24"/>
                <w:highlight w:val="none"/>
              </w:rPr>
              <w:t>使用</w:t>
            </w:r>
            <w:r>
              <w:rPr>
                <w:rFonts w:hint="eastAsia" w:ascii="宋体" w:hAnsi="宋体"/>
                <w:color w:val="auto"/>
                <w:sz w:val="24"/>
                <w:szCs w:val="24"/>
                <w:highlight w:val="none"/>
              </w:rPr>
              <w:t>单位确认。</w:t>
            </w:r>
          </w:p>
          <w:p>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5.投标人必须在投标文件中书面承诺：中标后生产前，向使用单位确定所供货物的相关事项，经使用单位书面确认是否增减后方可投入生产。否则，由此产生的一切后果由中标供应商负责。</w:t>
            </w:r>
          </w:p>
          <w:p>
            <w:pPr>
              <w:pStyle w:val="5"/>
              <w:keepNext w:val="0"/>
              <w:keepLines w:val="0"/>
              <w:suppressLineNumbers w:val="0"/>
              <w:spacing w:before="0" w:beforeAutospacing="0" w:after="0" w:afterAutospacing="0" w:line="360" w:lineRule="auto"/>
              <w:ind w:left="0" w:right="0" w:firstLine="480" w:firstLineChars="200"/>
              <w:rPr>
                <w:rFonts w:hint="default" w:hAnsi="宋体"/>
                <w:color w:val="auto"/>
                <w:sz w:val="24"/>
                <w:szCs w:val="24"/>
                <w:highlight w:val="none"/>
              </w:rPr>
            </w:pPr>
            <w:r>
              <w:rPr>
                <w:rFonts w:hint="eastAsia" w:hAnsi="宋体"/>
                <w:color w:val="auto"/>
                <w:sz w:val="24"/>
                <w:szCs w:val="24"/>
                <w:highlight w:val="none"/>
              </w:rPr>
              <w:t>6、货物初验：货物运抵采购单位指定地点后由</w:t>
            </w:r>
            <w:r>
              <w:rPr>
                <w:rFonts w:hint="eastAsia" w:hAnsi="宋体"/>
                <w:bCs/>
                <w:color w:val="auto"/>
                <w:sz w:val="24"/>
                <w:szCs w:val="24"/>
                <w:highlight w:val="none"/>
              </w:rPr>
              <w:t>使用</w:t>
            </w:r>
            <w:r>
              <w:rPr>
                <w:rFonts w:hint="eastAsia" w:hAnsi="宋体"/>
                <w:color w:val="auto"/>
                <w:sz w:val="24"/>
                <w:szCs w:val="24"/>
                <w:highlight w:val="none"/>
              </w:rPr>
              <w:t>单位对照采购清单对外观、包装及数量进行验收。到货初验时，中标供应商代表必须在场。同时，中标供应商必须提供货物的相关手续（品牌证书、装箱清单含货物的主附件、原产地证明书、品质保证书、出厂检验报告、合格证书、使用及维护说明书）。每件产品必须说明材质、规格、涂料、粘合剂等及是否含有毒、有害物质等情况。</w:t>
            </w:r>
          </w:p>
          <w:p>
            <w:pPr>
              <w:pStyle w:val="5"/>
              <w:keepNext w:val="0"/>
              <w:keepLines w:val="0"/>
              <w:suppressLineNumbers w:val="0"/>
              <w:tabs>
                <w:tab w:val="left" w:pos="540"/>
              </w:tabs>
              <w:spacing w:before="0" w:beforeAutospacing="0" w:after="0" w:afterAutospacing="0" w:line="360" w:lineRule="auto"/>
              <w:ind w:left="0" w:right="0" w:firstLine="480" w:firstLineChars="200"/>
              <w:rPr>
                <w:rFonts w:hint="default" w:hAnsi="宋体"/>
                <w:color w:val="auto"/>
                <w:sz w:val="24"/>
                <w:szCs w:val="24"/>
                <w:highlight w:val="none"/>
              </w:rPr>
            </w:pPr>
            <w:r>
              <w:rPr>
                <w:rFonts w:hint="eastAsia" w:hAnsi="宋体"/>
                <w:color w:val="auto"/>
                <w:sz w:val="24"/>
                <w:szCs w:val="24"/>
                <w:highlight w:val="none"/>
              </w:rPr>
              <w:t>7.最终验收：中标供应商负责现场安装、调试，待性能指标经验收合格后（附验收报告），中标供应商应与采购单位共同签署《厦门市政府采购验收报告》。</w:t>
            </w:r>
          </w:p>
          <w:p>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8.投标人必须在投标文件中书面承诺：一旦中标，在生产本次采购家具的过程中，邀请使用单位代表到工厂对产品从进料、开胚、上漆、成型等一系列生产程序进行检查、监督；使用单位根据合同进度可以采用书面函件形式要求投标人对生产情况合理改进，投标人应予书面答复，并制定完整的整改措施。</w:t>
            </w:r>
          </w:p>
          <w:p>
            <w:pPr>
              <w:pStyle w:val="5"/>
              <w:keepNext w:val="0"/>
              <w:keepLines w:val="0"/>
              <w:suppressLineNumbers w:val="0"/>
              <w:spacing w:before="0" w:beforeAutospacing="0" w:after="0" w:afterAutospacing="0" w:line="360" w:lineRule="auto"/>
              <w:ind w:left="0" w:right="0" w:firstLine="480" w:firstLineChars="200"/>
              <w:rPr>
                <w:rFonts w:hint="default" w:hAnsi="宋体"/>
                <w:color w:val="auto"/>
                <w:sz w:val="24"/>
                <w:szCs w:val="24"/>
                <w:highlight w:val="none"/>
              </w:rPr>
            </w:pPr>
            <w:r>
              <w:rPr>
                <w:rFonts w:hint="eastAsia" w:hAnsi="宋体"/>
                <w:color w:val="auto"/>
                <w:sz w:val="24"/>
                <w:szCs w:val="24"/>
                <w:highlight w:val="none"/>
              </w:rPr>
              <w:t>9.投标人不得虚报各项技术指标，中标产品若不能符合技术要求、招标文件及合同约定的，采购单位有权退货并单方解除合同，中标供应商除退还所有的货款外，还应向支付合同总价50%的违约金。</w:t>
            </w:r>
          </w:p>
          <w:p>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10.投标人必须在投标文件中书面承诺：一旦中标，在保证按招标文件中要求提供的产品数量进行供货外，还应保证能够免费提供足够的样品供使用单位邀请相关部门对其在封闭式的环境中进行开放性的检测；如经检测家具环保等指标达不到国家以及招标文件中的要求，投标人应按中标价的2倍金额赔偿给采购单位。</w:t>
            </w:r>
          </w:p>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tcBorders>
              <w:top w:val="single" w:color="auto" w:sz="4" w:space="0"/>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line="360" w:lineRule="auto"/>
              <w:ind w:left="-178" w:leftChars="-85" w:right="359" w:rightChars="171" w:firstLine="361" w:firstLineChars="150"/>
              <w:jc w:val="left"/>
              <w:rPr>
                <w:rFonts w:hint="default" w:ascii="宋体" w:hAnsi="宋体"/>
                <w:b/>
                <w:color w:val="auto"/>
                <w:sz w:val="24"/>
                <w:szCs w:val="24"/>
                <w:highlight w:val="none"/>
              </w:rPr>
            </w:pPr>
            <w:r>
              <w:rPr>
                <w:rFonts w:hint="eastAsia" w:ascii="宋体" w:hAnsi="宋体"/>
                <w:b/>
                <w:color w:val="auto"/>
                <w:sz w:val="24"/>
                <w:szCs w:val="24"/>
                <w:highlight w:val="none"/>
              </w:rPr>
              <w:t>六、货物技术服务要求</w:t>
            </w:r>
          </w:p>
          <w:p>
            <w:pPr>
              <w:pStyle w:val="5"/>
              <w:keepNext w:val="0"/>
              <w:keepLines w:val="0"/>
              <w:suppressLineNumbers w:val="0"/>
              <w:spacing w:before="0" w:beforeAutospacing="0" w:after="0" w:afterAutospacing="0" w:line="360" w:lineRule="auto"/>
              <w:ind w:left="0" w:right="0" w:firstLine="480" w:firstLineChars="200"/>
              <w:rPr>
                <w:rFonts w:hint="default" w:hAnsi="宋体"/>
                <w:color w:val="auto"/>
                <w:sz w:val="24"/>
                <w:szCs w:val="24"/>
                <w:highlight w:val="none"/>
              </w:rPr>
            </w:pPr>
            <w:r>
              <w:rPr>
                <w:rFonts w:hint="eastAsia" w:hAnsi="宋体"/>
                <w:color w:val="auto"/>
                <w:sz w:val="24"/>
                <w:szCs w:val="24"/>
                <w:highlight w:val="none"/>
              </w:rPr>
              <w:t>2.投标人应单独列出质保期后年维护费用（全包，包括零配件费用等包干计取，按总报价的百分之几报价）,待质保期过后按实际发生的维护情况由投标人提供相应的票据经采购单位确认后结算（结算金额不超过此项报价）。投标人应提供免费技术支持力度等情况。</w:t>
            </w:r>
          </w:p>
          <w:p>
            <w:pPr>
              <w:pStyle w:val="5"/>
              <w:keepNext w:val="0"/>
              <w:keepLines w:val="0"/>
              <w:suppressLineNumbers w:val="0"/>
              <w:spacing w:before="0" w:beforeAutospacing="0" w:after="0" w:afterAutospacing="0" w:line="360" w:lineRule="auto"/>
              <w:ind w:left="0" w:right="0" w:firstLine="480" w:firstLineChars="200"/>
              <w:rPr>
                <w:rFonts w:hint="default" w:hAnsi="宋体"/>
                <w:color w:val="auto"/>
                <w:sz w:val="24"/>
                <w:szCs w:val="24"/>
                <w:highlight w:val="none"/>
              </w:rPr>
            </w:pPr>
            <w:r>
              <w:rPr>
                <w:rFonts w:hint="eastAsia" w:hAnsi="宋体"/>
                <w:color w:val="auto"/>
                <w:sz w:val="24"/>
                <w:szCs w:val="24"/>
                <w:highlight w:val="none"/>
              </w:rPr>
              <w:t>3.投标人能长期提供良好的技术支持及备品备件的优惠供应。</w:t>
            </w:r>
          </w:p>
          <w:p>
            <w:pPr>
              <w:pStyle w:val="5"/>
              <w:keepNext w:val="0"/>
              <w:keepLines w:val="0"/>
              <w:suppressLineNumbers w:val="0"/>
              <w:spacing w:before="0" w:beforeAutospacing="0" w:after="0" w:afterAutospacing="0" w:line="360" w:lineRule="auto"/>
              <w:ind w:left="0" w:right="0" w:firstLine="480" w:firstLineChars="200"/>
              <w:rPr>
                <w:rFonts w:hint="default" w:hAnsi="宋体"/>
                <w:color w:val="auto"/>
                <w:sz w:val="24"/>
                <w:szCs w:val="24"/>
                <w:highlight w:val="none"/>
              </w:rPr>
            </w:pPr>
            <w:r>
              <w:rPr>
                <w:rFonts w:hint="eastAsia" w:hAnsi="宋体"/>
                <w:color w:val="auto"/>
                <w:sz w:val="24"/>
                <w:szCs w:val="24"/>
                <w:highlight w:val="none"/>
              </w:rPr>
              <w:t>4.投标人如有其它更好的售后服务应在方案中书面声明。</w:t>
            </w:r>
          </w:p>
          <w:p>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tcBorders>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359" w:rightChars="171"/>
              <w:rPr>
                <w:rFonts w:hint="default" w:ascii="宋体" w:hAnsi="宋体"/>
                <w:color w:val="auto"/>
                <w:sz w:val="24"/>
                <w:szCs w:val="24"/>
                <w:highlight w:val="none"/>
              </w:rPr>
            </w:pPr>
            <w:r>
              <w:rPr>
                <w:rFonts w:hint="eastAsia" w:ascii="宋体" w:hAnsi="宋体"/>
                <w:b/>
                <w:color w:val="auto"/>
                <w:sz w:val="24"/>
                <w:szCs w:val="24"/>
                <w:highlight w:val="none"/>
              </w:rPr>
              <w:t>八、付款方式</w:t>
            </w:r>
            <w:r>
              <w:rPr>
                <w:rFonts w:hint="eastAsia" w:ascii="宋体" w:hAnsi="宋体"/>
                <w:color w:val="auto"/>
                <w:kern w:val="0"/>
                <w:sz w:val="24"/>
                <w:szCs w:val="24"/>
                <w:highlight w:val="none"/>
              </w:rPr>
              <w:br w:type="textWrapping"/>
            </w:r>
            <w:r>
              <w:rPr>
                <w:rFonts w:hint="eastAsia" w:ascii="宋体" w:hAnsi="宋体"/>
                <w:color w:val="auto"/>
                <w:kern w:val="0"/>
                <w:sz w:val="24"/>
                <w:szCs w:val="24"/>
                <w:highlight w:val="none"/>
              </w:rPr>
              <w:t xml:space="preserve">   1.</w:t>
            </w:r>
            <w:r>
              <w:rPr>
                <w:rFonts w:hint="eastAsia" w:ascii="宋体" w:hAnsi="宋体"/>
                <w:color w:val="auto"/>
                <w:sz w:val="24"/>
                <w:szCs w:val="24"/>
                <w:highlight w:val="none"/>
              </w:rPr>
              <w:t>合同签订后</w:t>
            </w:r>
            <w:r>
              <w:rPr>
                <w:rFonts w:hint="default" w:ascii="宋体" w:hAnsi="宋体"/>
                <w:color w:val="auto"/>
                <w:sz w:val="24"/>
                <w:szCs w:val="24"/>
                <w:highlight w:val="none"/>
              </w:rPr>
              <w:t>，买方向卖方支付合同总价</w:t>
            </w:r>
            <w:r>
              <w:rPr>
                <w:rFonts w:hint="eastAsia" w:ascii="宋体" w:hAnsi="宋体"/>
                <w:color w:val="auto"/>
                <w:sz w:val="24"/>
                <w:szCs w:val="24"/>
                <w:highlight w:val="none"/>
              </w:rPr>
              <w:t>的50</w:t>
            </w:r>
            <w:r>
              <w:rPr>
                <w:rFonts w:hint="default" w:ascii="宋体" w:hAnsi="宋体"/>
                <w:color w:val="auto"/>
                <w:sz w:val="24"/>
                <w:szCs w:val="24"/>
                <w:highlight w:val="none"/>
              </w:rPr>
              <w:t xml:space="preserve"> %</w:t>
            </w:r>
            <w:r>
              <w:rPr>
                <w:rFonts w:hint="eastAsia" w:ascii="宋体" w:hAnsi="宋体"/>
                <w:color w:val="auto"/>
                <w:sz w:val="24"/>
                <w:szCs w:val="24"/>
                <w:highlight w:val="none"/>
              </w:rPr>
              <w:t>作为</w:t>
            </w:r>
            <w:r>
              <w:rPr>
                <w:rFonts w:hint="default" w:ascii="宋体" w:hAnsi="宋体"/>
                <w:color w:val="auto"/>
                <w:sz w:val="24"/>
                <w:szCs w:val="24"/>
                <w:highlight w:val="none"/>
              </w:rPr>
              <w:t>预付款。</w:t>
            </w:r>
          </w:p>
          <w:p>
            <w:pPr>
              <w:keepNext w:val="0"/>
              <w:keepLines w:val="0"/>
              <w:suppressLineNumbers w:val="0"/>
              <w:tabs>
                <w:tab w:val="left" w:pos="5130"/>
              </w:tabs>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color w:val="auto"/>
                <w:sz w:val="24"/>
                <w:szCs w:val="24"/>
                <w:highlight w:val="none"/>
              </w:rPr>
              <w:t>2.</w:t>
            </w:r>
            <w:r>
              <w:rPr>
                <w:rFonts w:hint="default" w:ascii="宋体" w:hAnsi="宋体"/>
                <w:color w:val="auto"/>
                <w:sz w:val="24"/>
                <w:szCs w:val="24"/>
                <w:highlight w:val="none"/>
              </w:rPr>
              <w:t>卖方供货安装、调试完毕，</w:t>
            </w:r>
            <w:r>
              <w:rPr>
                <w:rFonts w:hint="eastAsia" w:ascii="宋体" w:hAnsi="宋体"/>
                <w:color w:val="auto"/>
                <w:sz w:val="24"/>
                <w:szCs w:val="24"/>
                <w:highlight w:val="none"/>
              </w:rPr>
              <w:t>使用单位</w:t>
            </w:r>
            <w:r>
              <w:rPr>
                <w:rFonts w:hint="default" w:ascii="宋体" w:hAnsi="宋体"/>
                <w:color w:val="auto"/>
                <w:sz w:val="24"/>
                <w:szCs w:val="24"/>
                <w:highlight w:val="none"/>
              </w:rPr>
              <w:t>验收合格后，卖方开具全部货物清单给使用单位，买方向卖方支</w:t>
            </w:r>
            <w:r>
              <w:rPr>
                <w:rFonts w:hint="eastAsia" w:ascii="宋体" w:hAnsi="宋体"/>
                <w:color w:val="auto"/>
                <w:sz w:val="24"/>
                <w:szCs w:val="24"/>
                <w:highlight w:val="none"/>
              </w:rPr>
              <w:t>付本合同剩余的50</w:t>
            </w:r>
            <w:r>
              <w:rPr>
                <w:rFonts w:hint="default" w:ascii="宋体" w:hAnsi="宋体"/>
                <w:color w:val="auto"/>
                <w:sz w:val="24"/>
                <w:szCs w:val="24"/>
                <w:highlight w:val="none"/>
              </w:rPr>
              <w:t>%的款项。</w:t>
            </w: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default" w:ascii="宋体" w:hAnsi="宋体"/>
                <w:b/>
                <w:color w:val="auto"/>
                <w:sz w:val="24"/>
                <w:szCs w:val="24"/>
                <w:highlight w:val="none"/>
              </w:rPr>
            </w:pPr>
            <w:r>
              <w:rPr>
                <w:rFonts w:hint="eastAsia" w:ascii="宋体" w:hAnsi="宋体"/>
                <w:b/>
                <w:color w:val="auto"/>
                <w:sz w:val="24"/>
                <w:szCs w:val="24"/>
                <w:highlight w:val="none"/>
              </w:rPr>
              <w:t>九、合同签订</w:t>
            </w:r>
          </w:p>
          <w:p>
            <w:pPr>
              <w:keepNext w:val="0"/>
              <w:keepLines w:val="0"/>
              <w:suppressLineNumbers w:val="0"/>
              <w:spacing w:before="0" w:beforeAutospacing="0" w:after="0" w:afterAutospacing="0" w:line="360" w:lineRule="auto"/>
              <w:ind w:left="0" w:right="0" w:firstLine="470" w:firstLineChars="196"/>
              <w:rPr>
                <w:rFonts w:hint="default" w:ascii="宋体" w:hAnsi="宋体"/>
                <w:color w:val="auto"/>
                <w:sz w:val="24"/>
                <w:szCs w:val="24"/>
                <w:highlight w:val="none"/>
              </w:rPr>
            </w:pPr>
            <w:r>
              <w:rPr>
                <w:rFonts w:hint="eastAsia" w:ascii="宋体" w:hAnsi="宋体"/>
                <w:color w:val="auto"/>
                <w:sz w:val="24"/>
                <w:szCs w:val="24"/>
                <w:highlight w:val="none"/>
              </w:rPr>
              <w:t>1.中标供应商接到中标通知书后20个日历日内，持中标通知书与采购单位签订合同。</w:t>
            </w:r>
          </w:p>
          <w:p>
            <w:pPr>
              <w:keepNext w:val="0"/>
              <w:keepLines w:val="0"/>
              <w:suppressLineNumbers w:val="0"/>
              <w:spacing w:before="0" w:beforeAutospacing="0" w:after="0" w:afterAutospacing="0" w:line="360" w:lineRule="auto"/>
              <w:ind w:left="0" w:right="0" w:firstLine="378"/>
              <w:rPr>
                <w:rFonts w:hint="eastAsia" w:ascii="宋体" w:hAnsi="宋体" w:eastAsia="宋体" w:cs="宋体"/>
                <w:color w:val="auto"/>
                <w:sz w:val="24"/>
                <w:szCs w:val="24"/>
                <w:highlight w:val="none"/>
              </w:rPr>
            </w:pPr>
            <w:r>
              <w:rPr>
                <w:rFonts w:hint="eastAsia" w:ascii="宋体" w:hAnsi="宋体"/>
                <w:color w:val="auto"/>
                <w:sz w:val="24"/>
                <w:szCs w:val="24"/>
                <w:highlight w:val="none"/>
              </w:rPr>
              <w:t>2.招标文件、投标文件均作为合同订立的基础，为合同组成部分。</w:t>
            </w: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tcBorders>
              <w:top w:val="single" w:color="auto" w:sz="4" w:space="0"/>
              <w:left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spacing w:before="0" w:beforeAutospacing="0" w:after="0" w:afterAutospacing="0" w:line="360" w:lineRule="auto"/>
              <w:ind w:left="0" w:right="-63" w:rightChars="-30"/>
              <w:jc w:val="left"/>
              <w:rPr>
                <w:rFonts w:hint="default" w:ascii="宋体" w:hAnsi="宋体"/>
                <w:color w:val="auto"/>
                <w:sz w:val="24"/>
                <w:szCs w:val="24"/>
                <w:highlight w:val="none"/>
              </w:rPr>
            </w:pPr>
            <w:r>
              <w:rPr>
                <w:rFonts w:hint="eastAsia" w:ascii="宋体" w:hAnsi="宋体"/>
                <w:b/>
                <w:color w:val="auto"/>
                <w:sz w:val="24"/>
                <w:szCs w:val="24"/>
                <w:highlight w:val="none"/>
              </w:rPr>
              <w:t xml:space="preserve">十、其他事项 </w:t>
            </w:r>
          </w:p>
          <w:p>
            <w:pPr>
              <w:keepNext w:val="0"/>
              <w:keepLines w:val="0"/>
              <w:suppressLineNumbers w:val="0"/>
              <w:spacing w:before="0" w:beforeAutospacing="0" w:after="0" w:afterAutospacing="0" w:line="360" w:lineRule="auto"/>
              <w:ind w:left="0" w:right="0" w:firstLine="482" w:firstLineChars="200"/>
              <w:rPr>
                <w:rFonts w:hint="default" w:ascii="宋体" w:hAnsi="宋体"/>
                <w:b/>
                <w:color w:val="auto"/>
                <w:sz w:val="24"/>
                <w:szCs w:val="24"/>
                <w:highlight w:val="none"/>
              </w:rPr>
            </w:pPr>
            <w:r>
              <w:rPr>
                <w:rFonts w:hint="eastAsia" w:ascii="宋体" w:hAnsi="宋体"/>
                <w:b/>
                <w:color w:val="auto"/>
                <w:sz w:val="24"/>
                <w:szCs w:val="24"/>
                <w:highlight w:val="none"/>
              </w:rPr>
              <w:t>1.交付使用期：合同签订之日起</w:t>
            </w:r>
            <w:r>
              <w:rPr>
                <w:rFonts w:hint="eastAsia" w:ascii="宋体" w:hAnsi="宋体"/>
                <w:b/>
                <w:bCs/>
                <w:color w:val="auto"/>
                <w:sz w:val="24"/>
                <w:szCs w:val="24"/>
                <w:highlight w:val="none"/>
              </w:rPr>
              <w:t>30</w:t>
            </w:r>
            <w:r>
              <w:rPr>
                <w:rFonts w:hint="eastAsia" w:ascii="宋体" w:hAnsi="宋体"/>
                <w:b/>
                <w:color w:val="auto"/>
                <w:sz w:val="24"/>
                <w:szCs w:val="24"/>
                <w:highlight w:val="none"/>
              </w:rPr>
              <w:t>个日历日内（含交货及安装）。</w:t>
            </w:r>
          </w:p>
          <w:p>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2.投标人提供公司的基本情况、业绩、主要技术人员及资信证明。</w:t>
            </w:r>
          </w:p>
          <w:p>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3．投标人在投标文件中详细说明所投货物的技术水平、性能等(材质构成、油漆、内外部结构、五金配件、制造工艺、生产流程、加工设备及其它)。</w:t>
            </w:r>
          </w:p>
          <w:p>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4．附件及零配件：投标人应列出备品/备件及附件的清单及价格。</w:t>
            </w:r>
          </w:p>
          <w:p>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5．投标人认为有必要提供的其它技术资料。</w:t>
            </w:r>
          </w:p>
          <w:p>
            <w:pPr>
              <w:keepNext w:val="0"/>
              <w:keepLines w:val="0"/>
              <w:suppressLineNumbers w:val="0"/>
              <w:spacing w:before="0" w:beforeAutospacing="0" w:after="0" w:afterAutospacing="0" w:line="360" w:lineRule="auto"/>
              <w:ind w:left="0" w:right="0" w:firstLine="480" w:firstLineChars="200"/>
              <w:rPr>
                <w:rFonts w:hint="default" w:ascii="宋体" w:hAnsi="宋体"/>
                <w:color w:val="auto"/>
                <w:sz w:val="24"/>
                <w:szCs w:val="24"/>
                <w:highlight w:val="none"/>
              </w:rPr>
            </w:pPr>
            <w:r>
              <w:rPr>
                <w:rFonts w:hint="eastAsia" w:ascii="宋体" w:hAnsi="宋体"/>
                <w:color w:val="auto"/>
                <w:sz w:val="24"/>
                <w:szCs w:val="24"/>
                <w:highlight w:val="none"/>
              </w:rPr>
              <w:t>6．投标人若有其它方面的特殊功能及优惠条件，可在投标文件中注明。</w:t>
            </w:r>
          </w:p>
          <w:p>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bCs/>
                <w:color w:val="auto"/>
                <w:sz w:val="24"/>
                <w:szCs w:val="24"/>
                <w:highlight w:val="none"/>
              </w:rPr>
              <w:t>7</w:t>
            </w:r>
            <w:r>
              <w:rPr>
                <w:rFonts w:hint="eastAsia" w:ascii="宋体" w:hAnsi="宋体"/>
                <w:color w:val="auto"/>
                <w:sz w:val="24"/>
                <w:szCs w:val="24"/>
                <w:highlight w:val="none"/>
              </w:rPr>
              <w:t>．如</w:t>
            </w:r>
            <w:r>
              <w:rPr>
                <w:rFonts w:hint="eastAsia" w:ascii="宋体" w:hAnsi="宋体"/>
                <w:bCs/>
                <w:color w:val="auto"/>
                <w:sz w:val="24"/>
                <w:szCs w:val="24"/>
                <w:highlight w:val="none"/>
              </w:rPr>
              <w:t>采购单位对采购数量有所调整，将按中标单价调整合同总价，中标供应商不得有异议。如款式及型号有所变动必须经采购单位书面确认，涉及单价变动的以中标单价为基准，由采购单位和中标供应商协商确定。</w:t>
            </w:r>
          </w:p>
        </w:tc>
        <w:tc>
          <w:tcPr>
            <w:tcW w:w="7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bl>
    <w:p>
      <w:pPr>
        <w:tabs>
          <w:tab w:val="left" w:pos="5130"/>
        </w:tabs>
        <w:spacing w:line="360" w:lineRule="auto"/>
        <w:ind w:firstLine="480" w:firstLineChars="200"/>
        <w:rPr>
          <w:rFonts w:hint="eastAsia" w:ascii="宋体" w:hAnsi="宋体" w:eastAsia="宋体" w:cs="宋体"/>
          <w:color w:val="auto"/>
          <w:sz w:val="24"/>
          <w:szCs w:val="24"/>
          <w:highlight w:val="none"/>
        </w:rPr>
      </w:pPr>
    </w:p>
    <w:p>
      <w:pPr>
        <w:tabs>
          <w:tab w:val="left" w:pos="5130"/>
        </w:tabs>
        <w:spacing w:line="360" w:lineRule="auto"/>
        <w:ind w:firstLine="480" w:firstLineChars="200"/>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b/>
          <w:bCs/>
          <w:color w:val="auto"/>
          <w:sz w:val="24"/>
          <w:szCs w:val="24"/>
          <w:highlight w:val="none"/>
        </w:rPr>
        <w:sectPr>
          <w:headerReference r:id="rId8" w:type="default"/>
          <w:footerReference r:id="rId9" w:type="default"/>
          <w:pgSz w:w="11906" w:h="16838"/>
          <w:pgMar w:top="851" w:right="851" w:bottom="851" w:left="1134" w:header="567" w:footer="567" w:gutter="0"/>
          <w:pgBorders>
            <w:top w:val="none" w:sz="0" w:space="0"/>
            <w:left w:val="none" w:sz="0" w:space="0"/>
            <w:bottom w:val="none" w:sz="0" w:space="0"/>
            <w:right w:val="none" w:sz="0" w:space="0"/>
          </w:pgBorders>
          <w:pgNumType w:start="1"/>
          <w:cols w:space="720" w:num="1"/>
          <w:docGrid w:linePitch="312" w:charSpace="0"/>
        </w:sectPr>
      </w:pP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bCs/>
          <w:color w:val="auto"/>
          <w:sz w:val="32"/>
          <w:szCs w:val="32"/>
          <w:highlight w:val="none"/>
        </w:rPr>
        <w:t>第四章</w:t>
      </w:r>
      <w:r>
        <w:rPr>
          <w:rFonts w:hint="eastAsia" w:ascii="宋体" w:hAnsi="宋体" w:eastAsia="宋体" w:cs="宋体"/>
          <w:b/>
          <w:color w:val="auto"/>
          <w:sz w:val="32"/>
          <w:szCs w:val="32"/>
          <w:highlight w:val="none"/>
        </w:rPr>
        <w:t xml:space="preserve">  </w:t>
      </w:r>
      <w:r>
        <w:rPr>
          <w:rFonts w:hint="default" w:ascii="宋体" w:hAnsi="宋体" w:cs="宋体"/>
          <w:b/>
          <w:color w:val="auto"/>
          <w:sz w:val="32"/>
          <w:szCs w:val="32"/>
          <w:highlight w:val="none"/>
        </w:rPr>
        <w:t>大宗</w:t>
      </w:r>
      <w:r>
        <w:rPr>
          <w:rFonts w:hint="eastAsia" w:ascii="宋体" w:hAnsi="宋体" w:eastAsia="宋体" w:cs="宋体"/>
          <w:b/>
          <w:color w:val="auto"/>
          <w:sz w:val="32"/>
          <w:szCs w:val="32"/>
          <w:highlight w:val="none"/>
        </w:rPr>
        <w:t>采购合同</w:t>
      </w:r>
    </w:p>
    <w:tbl>
      <w:tblPr>
        <w:tblStyle w:val="14"/>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8099" w:type="dxa"/>
            <w:noWrap w:val="0"/>
            <w:vAlign w:val="top"/>
          </w:tcPr>
          <w:p>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注释： </w:t>
            </w:r>
          </w:p>
          <w:p>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本格式条款仅作为双方签订合同的参考，为阐明各方的权利和义务，经协商可增加新的条款、修改相关条款， 但不得与招标文件、投标文件的实质性内容相背离。</w:t>
            </w:r>
          </w:p>
        </w:tc>
      </w:tr>
    </w:tbl>
    <w:p>
      <w:pPr>
        <w:spacing w:line="360" w:lineRule="auto"/>
        <w:ind w:left="1321"/>
        <w:jc w:val="center"/>
        <w:rPr>
          <w:rFonts w:ascii="宋体" w:hAnsi="宋体"/>
          <w:b/>
          <w:bCs/>
          <w:color w:val="auto"/>
          <w:sz w:val="32"/>
          <w:szCs w:val="32"/>
          <w:highlight w:val="none"/>
        </w:rPr>
      </w:pPr>
      <w:bookmarkStart w:id="0" w:name="htmc"/>
      <w:bookmarkEnd w:id="0"/>
      <w:r>
        <w:rPr>
          <w:rFonts w:hint="eastAsia" w:ascii="宋体" w:hAnsi="宋体"/>
          <w:b/>
          <w:bCs/>
          <w:color w:val="auto"/>
          <w:sz w:val="32"/>
          <w:szCs w:val="32"/>
          <w:highlight w:val="none"/>
        </w:rPr>
        <w:t>XM202</w:t>
      </w:r>
      <w:r>
        <w:rPr>
          <w:rFonts w:hint="eastAsia" w:ascii="宋体" w:hAnsi="宋体"/>
          <w:b/>
          <w:bCs/>
          <w:color w:val="auto"/>
          <w:sz w:val="32"/>
          <w:szCs w:val="32"/>
          <w:highlight w:val="none"/>
          <w:lang w:val="en-US" w:eastAsia="zh-CN"/>
        </w:rPr>
        <w:t>4</w:t>
      </w:r>
      <w:r>
        <w:rPr>
          <w:rFonts w:hint="eastAsia" w:ascii="宋体" w:hAnsi="宋体"/>
          <w:b/>
          <w:bCs/>
          <w:color w:val="auto"/>
          <w:sz w:val="32"/>
          <w:szCs w:val="32"/>
          <w:highlight w:val="none"/>
        </w:rPr>
        <w:t>—DZ00</w:t>
      </w:r>
      <w:r>
        <w:rPr>
          <w:rFonts w:hint="eastAsia" w:ascii="宋体" w:hAnsi="宋体"/>
          <w:b/>
          <w:bCs/>
          <w:color w:val="auto"/>
          <w:sz w:val="32"/>
          <w:szCs w:val="32"/>
          <w:highlight w:val="none"/>
          <w:lang w:val="en-US" w:eastAsia="zh-CN"/>
        </w:rPr>
        <w:t xml:space="preserve">19   </w:t>
      </w:r>
      <w:r>
        <w:rPr>
          <w:rFonts w:hint="eastAsia" w:ascii="宋体" w:hAnsi="宋体"/>
          <w:b/>
          <w:bCs/>
          <w:color w:val="auto"/>
          <w:sz w:val="32"/>
          <w:szCs w:val="32"/>
          <w:highlight w:val="none"/>
        </w:rPr>
        <w:t>采购合同</w:t>
      </w:r>
    </w:p>
    <w:p>
      <w:pPr>
        <w:spacing w:line="360" w:lineRule="auto"/>
        <w:ind w:right="480"/>
        <w:jc w:val="center"/>
        <w:rPr>
          <w:rFonts w:ascii="宋体" w:hAnsi="宋体"/>
          <w:color w:val="auto"/>
          <w:sz w:val="24"/>
          <w:highlight w:val="none"/>
        </w:rPr>
      </w:pPr>
    </w:p>
    <w:p>
      <w:pPr>
        <w:spacing w:line="360" w:lineRule="auto"/>
        <w:ind w:right="480"/>
        <w:jc w:val="center"/>
        <w:rPr>
          <w:rFonts w:ascii="宋体" w:hAnsi="宋体"/>
          <w:b/>
          <w:color w:val="auto"/>
          <w:kern w:val="0"/>
          <w:sz w:val="24"/>
          <w:szCs w:val="24"/>
          <w:highlight w:val="none"/>
        </w:rPr>
      </w:pPr>
      <w:r>
        <w:rPr>
          <w:rFonts w:hint="eastAsia" w:ascii="宋体" w:hAnsi="宋体"/>
          <w:color w:val="auto"/>
          <w:sz w:val="24"/>
          <w:highlight w:val="none"/>
        </w:rPr>
        <w:t xml:space="preserve">                                           </w:t>
      </w:r>
      <w:r>
        <w:rPr>
          <w:rFonts w:hint="eastAsia" w:ascii="宋体" w:hAnsi="宋体"/>
          <w:color w:val="auto"/>
          <w:sz w:val="24"/>
          <w:szCs w:val="24"/>
          <w:highlight w:val="none"/>
        </w:rPr>
        <w:t xml:space="preserve">  合同编号：</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买方（采购单位）：厦门万翔网络商务有限公司            签订地点：厦门</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 xml:space="preserve">卖方（中标/成交供应商）：                                  </w:t>
      </w:r>
    </w:p>
    <w:p>
      <w:pPr>
        <w:spacing w:line="360" w:lineRule="auto"/>
        <w:ind w:right="480"/>
        <w:jc w:val="center"/>
        <w:rPr>
          <w:rFonts w:ascii="宋体" w:hAnsi="宋体"/>
          <w:color w:val="auto"/>
          <w:sz w:val="24"/>
          <w:szCs w:val="24"/>
          <w:highlight w:val="none"/>
        </w:rPr>
      </w:pPr>
      <w:r>
        <w:rPr>
          <w:rFonts w:hint="eastAsia" w:ascii="宋体" w:hAnsi="宋体"/>
          <w:color w:val="auto"/>
          <w:sz w:val="24"/>
          <w:szCs w:val="24"/>
          <w:highlight w:val="none"/>
        </w:rPr>
        <w:t xml:space="preserve">                                               </w:t>
      </w:r>
    </w:p>
    <w:p>
      <w:pPr>
        <w:spacing w:line="360" w:lineRule="auto"/>
        <w:ind w:firstLine="600" w:firstLineChars="250"/>
        <w:rPr>
          <w:rFonts w:ascii="宋体" w:hAnsi="宋体"/>
          <w:color w:val="auto"/>
          <w:sz w:val="24"/>
          <w:szCs w:val="24"/>
          <w:highlight w:val="none"/>
        </w:rPr>
      </w:pPr>
      <w:r>
        <w:rPr>
          <w:rFonts w:hint="eastAsia" w:ascii="宋体" w:hAnsi="宋体"/>
          <w:color w:val="auto"/>
          <w:sz w:val="24"/>
          <w:szCs w:val="24"/>
          <w:highlight w:val="none"/>
        </w:rPr>
        <w:t>根据采购（招标/项目编号：）的采购结果，现依照招标（谈判）文件、投标（报价）文件及有关法律、法规、规章规定的内容，双方达成如下协议：</w:t>
      </w:r>
    </w:p>
    <w:p>
      <w:pPr>
        <w:spacing w:line="360" w:lineRule="auto"/>
        <w:rPr>
          <w:rFonts w:ascii="宋体" w:hAnsi="宋体"/>
          <w:b/>
          <w:color w:val="auto"/>
          <w:sz w:val="24"/>
          <w:szCs w:val="24"/>
          <w:highlight w:val="none"/>
        </w:rPr>
      </w:pPr>
      <w:r>
        <w:rPr>
          <w:rFonts w:hint="eastAsia" w:ascii="宋体" w:hAnsi="宋体"/>
          <w:b/>
          <w:color w:val="auto"/>
          <w:sz w:val="24"/>
          <w:szCs w:val="24"/>
          <w:highlight w:val="none"/>
        </w:rPr>
        <w:t>1、合同标的物和合同价格：</w:t>
      </w:r>
    </w:p>
    <w:tbl>
      <w:tblPr>
        <w:tblStyle w:val="14"/>
        <w:tblW w:w="9077" w:type="dxa"/>
        <w:tblInd w:w="103" w:type="dxa"/>
        <w:tblLayout w:type="autofit"/>
        <w:tblCellMar>
          <w:top w:w="0" w:type="dxa"/>
          <w:left w:w="108" w:type="dxa"/>
          <w:bottom w:w="0" w:type="dxa"/>
          <w:right w:w="108" w:type="dxa"/>
        </w:tblCellMar>
      </w:tblPr>
      <w:tblGrid>
        <w:gridCol w:w="2374"/>
        <w:gridCol w:w="1618"/>
        <w:gridCol w:w="1659"/>
        <w:gridCol w:w="1894"/>
        <w:gridCol w:w="1532"/>
      </w:tblGrid>
      <w:tr>
        <w:tblPrEx>
          <w:tblCellMar>
            <w:top w:w="0" w:type="dxa"/>
            <w:left w:w="108" w:type="dxa"/>
            <w:bottom w:w="0" w:type="dxa"/>
            <w:right w:w="108" w:type="dxa"/>
          </w:tblCellMar>
        </w:tblPrEx>
        <w:trPr>
          <w:trHeight w:val="615" w:hRule="atLeast"/>
        </w:trPr>
        <w:tc>
          <w:tcPr>
            <w:tcW w:w="23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品名</w:t>
            </w:r>
          </w:p>
        </w:tc>
        <w:tc>
          <w:tcPr>
            <w:tcW w:w="161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规格</w:t>
            </w:r>
          </w:p>
        </w:tc>
        <w:tc>
          <w:tcPr>
            <w:tcW w:w="165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制造商</w:t>
            </w:r>
          </w:p>
        </w:tc>
        <w:tc>
          <w:tcPr>
            <w:tcW w:w="189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数量</w:t>
            </w:r>
          </w:p>
        </w:tc>
        <w:tc>
          <w:tcPr>
            <w:tcW w:w="1532"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金额（元）</w:t>
            </w:r>
          </w:p>
        </w:tc>
      </w:tr>
      <w:tr>
        <w:tblPrEx>
          <w:tblCellMar>
            <w:top w:w="0" w:type="dxa"/>
            <w:left w:w="108" w:type="dxa"/>
            <w:bottom w:w="0" w:type="dxa"/>
            <w:right w:w="108" w:type="dxa"/>
          </w:tblCellMar>
        </w:tblPrEx>
        <w:trPr>
          <w:trHeight w:val="559" w:hRule="atLeast"/>
        </w:trPr>
        <w:tc>
          <w:tcPr>
            <w:tcW w:w="2374" w:type="dxa"/>
            <w:tcBorders>
              <w:top w:val="nil"/>
              <w:left w:val="single" w:color="auto" w:sz="4" w:space="0"/>
              <w:bottom w:val="nil"/>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jc w:val="left"/>
              <w:rPr>
                <w:rFonts w:hint="default" w:ascii="宋体" w:hAnsi="宋体" w:cs="宋体"/>
                <w:color w:val="auto"/>
                <w:kern w:val="0"/>
                <w:sz w:val="24"/>
                <w:szCs w:val="24"/>
                <w:highlight w:val="none"/>
              </w:rPr>
            </w:pPr>
            <w:r>
              <w:rPr>
                <w:rFonts w:hint="default" w:ascii="宋体" w:hAnsi="宋体"/>
                <w:color w:val="auto"/>
                <w:sz w:val="24"/>
                <w:szCs w:val="24"/>
                <w:highlight w:val="none"/>
              </w:rPr>
              <w:t>组合家具（墩上学校）</w:t>
            </w:r>
          </w:p>
        </w:tc>
        <w:tc>
          <w:tcPr>
            <w:tcW w:w="161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color w:val="auto"/>
                <w:sz w:val="24"/>
                <w:szCs w:val="24"/>
                <w:highlight w:val="none"/>
              </w:rPr>
            </w:pPr>
          </w:p>
        </w:tc>
        <w:tc>
          <w:tcPr>
            <w:tcW w:w="165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color w:val="auto"/>
                <w:sz w:val="24"/>
                <w:szCs w:val="24"/>
                <w:highlight w:val="none"/>
              </w:rPr>
            </w:pPr>
          </w:p>
        </w:tc>
        <w:tc>
          <w:tcPr>
            <w:tcW w:w="189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olor w:val="auto"/>
                <w:sz w:val="24"/>
                <w:szCs w:val="24"/>
                <w:highlight w:val="none"/>
              </w:rPr>
              <w:t>1批</w:t>
            </w:r>
          </w:p>
        </w:tc>
        <w:tc>
          <w:tcPr>
            <w:tcW w:w="153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olor w:val="auto"/>
                <w:sz w:val="24"/>
                <w:szCs w:val="24"/>
                <w:highlight w:val="none"/>
              </w:rPr>
              <w:t>￥</w:t>
            </w:r>
          </w:p>
        </w:tc>
      </w:tr>
      <w:tr>
        <w:tblPrEx>
          <w:tblCellMar>
            <w:top w:w="0" w:type="dxa"/>
            <w:left w:w="108" w:type="dxa"/>
            <w:bottom w:w="0" w:type="dxa"/>
            <w:right w:w="108" w:type="dxa"/>
          </w:tblCellMar>
        </w:tblPrEx>
        <w:trPr>
          <w:trHeight w:val="540" w:hRule="atLeast"/>
        </w:trPr>
        <w:tc>
          <w:tcPr>
            <w:tcW w:w="9077" w:type="dxa"/>
            <w:gridSpan w:val="5"/>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360" w:lineRule="auto"/>
              <w:ind w:left="0" w:right="0"/>
              <w:rPr>
                <w:rFonts w:hint="default" w:ascii="宋体" w:hAnsi="宋体"/>
                <w:bCs/>
                <w:color w:val="auto"/>
                <w:sz w:val="24"/>
                <w:szCs w:val="24"/>
                <w:highlight w:val="none"/>
              </w:rPr>
            </w:pPr>
            <w:r>
              <w:rPr>
                <w:rFonts w:hint="eastAsia" w:ascii="宋体" w:hAnsi="宋体" w:cs="宋体"/>
                <w:b/>
                <w:bCs/>
                <w:color w:val="auto"/>
                <w:kern w:val="0"/>
                <w:sz w:val="24"/>
                <w:szCs w:val="24"/>
                <w:highlight w:val="none"/>
              </w:rPr>
              <w:t>合同总价：</w:t>
            </w:r>
            <w:r>
              <w:rPr>
                <w:rFonts w:hint="default" w:ascii="宋体" w:hAnsi="宋体"/>
                <w:b/>
                <w:color w:val="auto"/>
                <w:sz w:val="24"/>
                <w:szCs w:val="24"/>
                <w:highlight w:val="none"/>
              </w:rPr>
              <w:t xml:space="preserve">人民币 </w:t>
            </w:r>
            <w:r>
              <w:rPr>
                <w:rFonts w:hint="eastAsia" w:ascii="宋体" w:hAnsi="宋体"/>
                <w:b/>
                <w:color w:val="auto"/>
                <w:sz w:val="24"/>
                <w:szCs w:val="24"/>
                <w:highlight w:val="none"/>
              </w:rPr>
              <w:t xml:space="preserve">   </w:t>
            </w:r>
            <w:r>
              <w:rPr>
                <w:rFonts w:hint="eastAsia" w:ascii="宋体" w:hAnsi="宋体"/>
                <w:color w:val="auto"/>
                <w:sz w:val="24"/>
                <w:szCs w:val="24"/>
                <w:highlight w:val="none"/>
              </w:rPr>
              <w:t>元整</w:t>
            </w:r>
            <w:r>
              <w:rPr>
                <w:rFonts w:hint="eastAsia" w:ascii="宋体" w:hAnsi="宋体"/>
                <w:bCs/>
                <w:color w:val="auto"/>
                <w:sz w:val="24"/>
                <w:szCs w:val="24"/>
                <w:highlight w:val="none"/>
              </w:rPr>
              <w:t>。货物验收完成后的保修等售后服务由</w:t>
            </w:r>
            <w:r>
              <w:rPr>
                <w:rFonts w:hint="default" w:ascii="宋体" w:hAnsi="宋体"/>
                <w:bCs/>
                <w:color w:val="auto"/>
                <w:sz w:val="24"/>
                <w:szCs w:val="24"/>
                <w:highlight w:val="none"/>
              </w:rPr>
              <w:t>卖方</w:t>
            </w:r>
            <w:r>
              <w:rPr>
                <w:rFonts w:hint="eastAsia" w:ascii="宋体" w:hAnsi="宋体"/>
                <w:bCs/>
                <w:color w:val="auto"/>
                <w:sz w:val="24"/>
                <w:szCs w:val="24"/>
                <w:highlight w:val="none"/>
              </w:rPr>
              <w:t>与</w:t>
            </w:r>
            <w:r>
              <w:rPr>
                <w:rFonts w:hint="default" w:ascii="宋体" w:hAnsi="宋体"/>
                <w:bCs/>
                <w:color w:val="auto"/>
                <w:sz w:val="24"/>
                <w:szCs w:val="24"/>
                <w:highlight w:val="none"/>
              </w:rPr>
              <w:t>使用单位</w:t>
            </w:r>
            <w:r>
              <w:rPr>
                <w:rFonts w:hint="eastAsia" w:ascii="宋体" w:hAnsi="宋体"/>
                <w:bCs/>
                <w:color w:val="auto"/>
                <w:sz w:val="24"/>
                <w:szCs w:val="24"/>
                <w:highlight w:val="none"/>
              </w:rPr>
              <w:t>另行签订服务合同单独约定，与本合同各自独立履行、互不影响。</w:t>
            </w:r>
          </w:p>
        </w:tc>
      </w:tr>
      <w:tr>
        <w:tblPrEx>
          <w:tblCellMar>
            <w:top w:w="0" w:type="dxa"/>
            <w:left w:w="108" w:type="dxa"/>
            <w:bottom w:w="0" w:type="dxa"/>
            <w:right w:w="108" w:type="dxa"/>
          </w:tblCellMar>
        </w:tblPrEx>
        <w:trPr>
          <w:trHeight w:val="780" w:hRule="atLeast"/>
        </w:trPr>
        <w:tc>
          <w:tcPr>
            <w:tcW w:w="9077"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jc w:val="left"/>
              <w:rPr>
                <w:rFonts w:hint="default" w:ascii="宋体" w:hAnsi="宋体" w:cs="宋体"/>
                <w:b/>
                <w:color w:val="auto"/>
                <w:kern w:val="0"/>
                <w:sz w:val="24"/>
                <w:szCs w:val="24"/>
                <w:highlight w:val="none"/>
              </w:rPr>
            </w:pPr>
            <w:r>
              <w:rPr>
                <w:rFonts w:hint="eastAsia" w:ascii="宋体" w:hAnsi="宋体" w:cs="宋体"/>
                <w:b/>
                <w:color w:val="auto"/>
                <w:kern w:val="0"/>
                <w:sz w:val="24"/>
                <w:szCs w:val="24"/>
                <w:highlight w:val="none"/>
              </w:rPr>
              <w:t xml:space="preserve">备注说明： 本项目使用单位（最终用户）：  </w:t>
            </w:r>
            <w:r>
              <w:rPr>
                <w:rFonts w:hint="eastAsia" w:ascii="宋体" w:hAnsi="宋体"/>
                <w:b/>
                <w:color w:val="auto"/>
                <w:sz w:val="24"/>
                <w:szCs w:val="24"/>
                <w:highlight w:val="none"/>
                <w:u w:val="single"/>
              </w:rPr>
              <w:t>。</w:t>
            </w:r>
          </w:p>
        </w:tc>
      </w:tr>
    </w:tbl>
    <w:p>
      <w:pPr>
        <w:spacing w:line="360" w:lineRule="auto"/>
        <w:rPr>
          <w:rFonts w:ascii="宋体" w:hAnsi="宋体"/>
          <w:b/>
          <w:color w:val="auto"/>
          <w:sz w:val="24"/>
          <w:szCs w:val="24"/>
          <w:highlight w:val="none"/>
        </w:rPr>
      </w:pPr>
      <w:r>
        <w:rPr>
          <w:rFonts w:hint="eastAsia" w:ascii="宋体" w:hAnsi="宋体"/>
          <w:b/>
          <w:color w:val="auto"/>
          <w:sz w:val="24"/>
          <w:szCs w:val="24"/>
          <w:highlight w:val="none"/>
        </w:rPr>
        <w:t>2、交货</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2.1交货方式：卖方负责送货到交货地点完成安装，并承担运输过程中发生的一切费用及风险。</w:t>
      </w:r>
    </w:p>
    <w:p>
      <w:pPr>
        <w:spacing w:line="360" w:lineRule="auto"/>
        <w:ind w:firstLine="480" w:firstLineChars="200"/>
        <w:rPr>
          <w:rFonts w:ascii="宋体" w:hAnsi="宋体"/>
          <w:color w:val="auto"/>
          <w:sz w:val="24"/>
          <w:szCs w:val="24"/>
          <w:highlight w:val="none"/>
          <w:u w:val="single"/>
        </w:rPr>
      </w:pPr>
      <w:r>
        <w:rPr>
          <w:rFonts w:hint="eastAsia" w:ascii="宋体" w:hAnsi="宋体"/>
          <w:color w:val="auto"/>
          <w:sz w:val="24"/>
          <w:szCs w:val="24"/>
          <w:highlight w:val="none"/>
        </w:rPr>
        <w:t>2.2交货地点：使用单位指定地点。</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2.3交付使用期: 合同签订之日起  个日历日内（含交货、安装）。</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w:t>
      </w:r>
      <w:r>
        <w:rPr>
          <w:rFonts w:ascii="宋体" w:hAnsi="宋体"/>
          <w:color w:val="auto"/>
          <w:sz w:val="24"/>
          <w:szCs w:val="24"/>
          <w:highlight w:val="none"/>
        </w:rPr>
        <w:t>4</w:t>
      </w:r>
      <w:r>
        <w:rPr>
          <w:rFonts w:hint="eastAsia" w:ascii="宋体" w:hAnsi="宋体"/>
          <w:color w:val="auto"/>
          <w:sz w:val="24"/>
          <w:szCs w:val="24"/>
          <w:highlight w:val="none"/>
        </w:rPr>
        <w:t>到货签收：卖方每批次供货到指定地点后，卖方应当组织最终用户对到货数量、型号等进行清点签收，并向买方提交最终用户签署的到货签收单原件。</w:t>
      </w:r>
    </w:p>
    <w:p>
      <w:pPr>
        <w:spacing w:line="360" w:lineRule="auto"/>
        <w:rPr>
          <w:rFonts w:ascii="宋体" w:hAnsi="宋体"/>
          <w:b/>
          <w:color w:val="auto"/>
          <w:sz w:val="24"/>
          <w:szCs w:val="24"/>
          <w:highlight w:val="none"/>
        </w:rPr>
      </w:pPr>
      <w:r>
        <w:rPr>
          <w:rFonts w:hint="eastAsia" w:ascii="宋体" w:hAnsi="宋体"/>
          <w:b/>
          <w:color w:val="auto"/>
          <w:sz w:val="24"/>
          <w:szCs w:val="24"/>
          <w:highlight w:val="none"/>
        </w:rPr>
        <w:t xml:space="preserve">3、采购清单： </w:t>
      </w:r>
    </w:p>
    <w:p>
      <w:pPr>
        <w:spacing w:line="360" w:lineRule="auto"/>
        <w:rPr>
          <w:rFonts w:ascii="宋体" w:hAnsi="宋体"/>
          <w:b/>
          <w:color w:val="auto"/>
          <w:sz w:val="24"/>
          <w:szCs w:val="24"/>
          <w:highlight w:val="none"/>
        </w:rPr>
      </w:pPr>
      <w:r>
        <w:rPr>
          <w:rFonts w:hint="eastAsia" w:ascii="宋体" w:hAnsi="宋体"/>
          <w:b/>
          <w:color w:val="auto"/>
          <w:sz w:val="24"/>
          <w:szCs w:val="24"/>
          <w:highlight w:val="none"/>
        </w:rPr>
        <w:t>4、付款条件、方式与履约保证金</w:t>
      </w:r>
    </w:p>
    <w:p>
      <w:pPr>
        <w:pStyle w:val="5"/>
        <w:spacing w:line="360" w:lineRule="auto"/>
        <w:ind w:firstLine="480" w:firstLineChars="200"/>
        <w:rPr>
          <w:rFonts w:hAnsi="宋体"/>
          <w:color w:val="auto"/>
          <w:sz w:val="24"/>
          <w:szCs w:val="24"/>
          <w:highlight w:val="none"/>
        </w:rPr>
      </w:pPr>
      <w:r>
        <w:rPr>
          <w:rFonts w:hint="eastAsia" w:hAnsi="宋体"/>
          <w:color w:val="auto"/>
          <w:sz w:val="24"/>
          <w:szCs w:val="24"/>
          <w:highlight w:val="none"/>
        </w:rPr>
        <w:t>4.1付款条件</w:t>
      </w:r>
    </w:p>
    <w:p>
      <w:pPr>
        <w:pStyle w:val="5"/>
        <w:spacing w:line="360" w:lineRule="auto"/>
        <w:ind w:firstLine="480" w:firstLineChars="200"/>
        <w:rPr>
          <w:rFonts w:hAnsi="宋体"/>
          <w:color w:val="auto"/>
          <w:sz w:val="24"/>
          <w:szCs w:val="24"/>
          <w:highlight w:val="none"/>
        </w:rPr>
      </w:pPr>
      <w:r>
        <w:rPr>
          <w:rFonts w:hint="eastAsia" w:hAnsi="宋体"/>
          <w:color w:val="auto"/>
          <w:sz w:val="24"/>
          <w:szCs w:val="24"/>
          <w:highlight w:val="none"/>
        </w:rPr>
        <w:t>卖方同意，待买方收到使用单位对应货款后，买方按4.2约定向卖方付款。</w:t>
      </w:r>
    </w:p>
    <w:p>
      <w:pPr>
        <w:tabs>
          <w:tab w:val="left" w:pos="5130"/>
        </w:tabs>
        <w:spacing w:line="360" w:lineRule="auto"/>
        <w:ind w:firstLine="480" w:firstLineChars="200"/>
        <w:rPr>
          <w:rFonts w:hint="eastAsia" w:ascii="宋体" w:hAnsi="宋体"/>
          <w:color w:val="auto"/>
          <w:sz w:val="24"/>
          <w:szCs w:val="24"/>
          <w:highlight w:val="none"/>
        </w:rPr>
      </w:pPr>
      <w:r>
        <w:rPr>
          <w:rFonts w:ascii="宋体" w:hAnsi="宋体"/>
          <w:color w:val="auto"/>
          <w:sz w:val="24"/>
          <w:szCs w:val="24"/>
          <w:highlight w:val="none"/>
        </w:rPr>
        <w:t>4.2</w:t>
      </w:r>
      <w:r>
        <w:rPr>
          <w:rFonts w:hint="eastAsia" w:ascii="宋体" w:hAnsi="宋体"/>
          <w:color w:val="auto"/>
          <w:sz w:val="24"/>
          <w:szCs w:val="24"/>
          <w:highlight w:val="none"/>
        </w:rPr>
        <w:t>付款方式</w:t>
      </w:r>
    </w:p>
    <w:p>
      <w:pPr>
        <w:pStyle w:val="43"/>
        <w:spacing w:line="360" w:lineRule="auto"/>
        <w:ind w:firstLine="540" w:firstLineChars="225"/>
        <w:rPr>
          <w:rFonts w:ascii="宋体" w:hAnsi="宋体" w:eastAsia="宋体"/>
          <w:color w:val="auto"/>
          <w:kern w:val="0"/>
          <w:sz w:val="24"/>
          <w:szCs w:val="24"/>
          <w:highlight w:val="none"/>
        </w:rPr>
      </w:pPr>
      <w:r>
        <w:rPr>
          <w:rFonts w:hint="eastAsia" w:ascii="宋体" w:hAnsi="宋体" w:eastAsia="宋体"/>
          <w:color w:val="auto"/>
          <w:kern w:val="0"/>
          <w:sz w:val="24"/>
          <w:szCs w:val="24"/>
          <w:highlight w:val="none"/>
        </w:rPr>
        <w:t xml:space="preserve">   </w:t>
      </w:r>
      <w:r>
        <w:rPr>
          <w:rFonts w:ascii="宋体" w:hAnsi="宋体" w:eastAsia="宋体"/>
          <w:color w:val="auto"/>
          <w:kern w:val="0"/>
          <w:sz w:val="24"/>
          <w:szCs w:val="24"/>
          <w:highlight w:val="none"/>
        </w:rPr>
        <w:t>4.2.1</w:t>
      </w:r>
      <w:r>
        <w:rPr>
          <w:rFonts w:hint="eastAsia" w:ascii="宋体" w:hAnsi="宋体" w:eastAsia="宋体"/>
          <w:color w:val="auto"/>
          <w:sz w:val="24"/>
          <w:szCs w:val="24"/>
          <w:highlight w:val="none"/>
        </w:rPr>
        <w:t>合同签订后</w:t>
      </w:r>
      <w:r>
        <w:rPr>
          <w:rFonts w:ascii="宋体" w:hAnsi="宋体" w:eastAsia="宋体"/>
          <w:color w:val="auto"/>
          <w:sz w:val="24"/>
          <w:szCs w:val="24"/>
          <w:highlight w:val="none"/>
        </w:rPr>
        <w:t>10个工作日内，买方向卖方支付合同总价</w:t>
      </w:r>
      <w:r>
        <w:rPr>
          <w:rFonts w:hint="eastAsia" w:ascii="宋体" w:hAnsi="宋体" w:eastAsia="宋体"/>
          <w:color w:val="auto"/>
          <w:sz w:val="24"/>
          <w:szCs w:val="24"/>
          <w:highlight w:val="none"/>
        </w:rPr>
        <w:t>50</w:t>
      </w:r>
      <w:r>
        <w:rPr>
          <w:rFonts w:ascii="宋体" w:hAnsi="宋体" w:eastAsia="宋体"/>
          <w:color w:val="auto"/>
          <w:sz w:val="24"/>
          <w:szCs w:val="24"/>
          <w:highlight w:val="none"/>
        </w:rPr>
        <w:t xml:space="preserve"> %的预付款。</w:t>
      </w:r>
    </w:p>
    <w:p>
      <w:pPr>
        <w:tabs>
          <w:tab w:val="left" w:pos="5130"/>
        </w:tabs>
        <w:spacing w:line="360" w:lineRule="auto"/>
        <w:ind w:firstLine="360" w:firstLineChars="150"/>
        <w:rPr>
          <w:rFonts w:ascii="宋体" w:hAnsi="宋体"/>
          <w:color w:val="auto"/>
          <w:sz w:val="24"/>
          <w:szCs w:val="24"/>
          <w:highlight w:val="none"/>
        </w:rPr>
      </w:pPr>
      <w:r>
        <w:rPr>
          <w:rFonts w:ascii="宋体" w:hAnsi="宋体"/>
          <w:color w:val="auto"/>
          <w:kern w:val="0"/>
          <w:sz w:val="24"/>
          <w:szCs w:val="24"/>
          <w:highlight w:val="none"/>
        </w:rPr>
        <w:t>4.2.2</w:t>
      </w:r>
      <w:r>
        <w:rPr>
          <w:rFonts w:ascii="宋体" w:hAnsi="宋体"/>
          <w:color w:val="auto"/>
          <w:sz w:val="24"/>
          <w:szCs w:val="24"/>
          <w:highlight w:val="none"/>
        </w:rPr>
        <w:t>卖方供货安装、调试完毕，</w:t>
      </w:r>
      <w:r>
        <w:rPr>
          <w:rFonts w:hint="eastAsia" w:ascii="宋体" w:hAnsi="宋体"/>
          <w:color w:val="auto"/>
          <w:sz w:val="24"/>
          <w:szCs w:val="24"/>
          <w:highlight w:val="none"/>
        </w:rPr>
        <w:t>使用单位</w:t>
      </w:r>
      <w:r>
        <w:rPr>
          <w:rFonts w:ascii="宋体" w:hAnsi="宋体"/>
          <w:color w:val="auto"/>
          <w:sz w:val="24"/>
          <w:szCs w:val="24"/>
          <w:highlight w:val="none"/>
        </w:rPr>
        <w:t>验收合格后，卖方开具合同总价100%的</w:t>
      </w:r>
      <w:r>
        <w:rPr>
          <w:rFonts w:hint="eastAsia" w:ascii="宋体" w:hAnsi="宋体"/>
          <w:color w:val="auto"/>
          <w:sz w:val="24"/>
          <w:szCs w:val="24"/>
          <w:highlight w:val="none"/>
        </w:rPr>
        <w:t>正规发票</w:t>
      </w:r>
      <w:r>
        <w:rPr>
          <w:rFonts w:ascii="宋体" w:hAnsi="宋体"/>
          <w:color w:val="auto"/>
          <w:sz w:val="24"/>
          <w:szCs w:val="24"/>
          <w:highlight w:val="none"/>
        </w:rPr>
        <w:t>和全部货物清单给买方，买方在20个工作日内向卖方支</w:t>
      </w:r>
      <w:r>
        <w:rPr>
          <w:rFonts w:hint="eastAsia" w:ascii="宋体" w:hAnsi="宋体"/>
          <w:color w:val="auto"/>
          <w:sz w:val="24"/>
          <w:szCs w:val="24"/>
          <w:highlight w:val="none"/>
        </w:rPr>
        <w:t>付</w:t>
      </w:r>
      <w:r>
        <w:rPr>
          <w:rFonts w:ascii="宋体" w:hAnsi="宋体"/>
          <w:color w:val="auto"/>
          <w:sz w:val="24"/>
          <w:szCs w:val="24"/>
          <w:highlight w:val="none"/>
        </w:rPr>
        <w:t>至</w:t>
      </w:r>
      <w:r>
        <w:rPr>
          <w:rFonts w:hint="eastAsia" w:ascii="宋体" w:hAnsi="宋体"/>
          <w:color w:val="auto"/>
          <w:sz w:val="24"/>
          <w:szCs w:val="24"/>
          <w:highlight w:val="none"/>
        </w:rPr>
        <w:t>本合同总价</w:t>
      </w:r>
      <w:r>
        <w:rPr>
          <w:rFonts w:ascii="宋体" w:hAnsi="宋体"/>
          <w:color w:val="auto"/>
          <w:sz w:val="24"/>
          <w:szCs w:val="24"/>
          <w:highlight w:val="none"/>
        </w:rPr>
        <w:t>100%的款项。</w:t>
      </w:r>
    </w:p>
    <w:p>
      <w:pPr>
        <w:widowControl/>
        <w:spacing w:line="360" w:lineRule="auto"/>
        <w:rPr>
          <w:rFonts w:hint="eastAsia" w:ascii="宋体" w:hAnsi="宋体"/>
          <w:color w:val="auto"/>
          <w:sz w:val="24"/>
          <w:szCs w:val="24"/>
          <w:highlight w:val="none"/>
        </w:rPr>
      </w:pPr>
      <w:r>
        <w:rPr>
          <w:rFonts w:hint="eastAsia" w:ascii="宋体" w:hAnsi="宋体"/>
          <w:color w:val="auto"/>
          <w:sz w:val="24"/>
          <w:szCs w:val="24"/>
          <w:highlight w:val="none"/>
        </w:rPr>
        <w:t>中标/成交供应商为中小企业：</w:t>
      </w:r>
    </w:p>
    <w:p>
      <w:pPr>
        <w:tabs>
          <w:tab w:val="left" w:pos="5130"/>
        </w:tabs>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4.2</w:t>
      </w:r>
      <w:r>
        <w:rPr>
          <w:rFonts w:hint="eastAsia" w:ascii="宋体" w:hAnsi="宋体"/>
          <w:color w:val="auto"/>
          <w:sz w:val="24"/>
          <w:szCs w:val="24"/>
          <w:highlight w:val="none"/>
        </w:rPr>
        <w:t>付款方式</w:t>
      </w:r>
      <w:r>
        <w:rPr>
          <w:rFonts w:hint="eastAsia" w:ascii="宋体" w:hAnsi="宋体"/>
          <w:color w:val="auto"/>
          <w:kern w:val="0"/>
          <w:sz w:val="24"/>
          <w:szCs w:val="24"/>
          <w:highlight w:val="none"/>
        </w:rPr>
        <w:br w:type="textWrapping"/>
      </w:r>
      <w:r>
        <w:rPr>
          <w:rFonts w:hint="eastAsia" w:ascii="宋体" w:hAnsi="宋体"/>
          <w:color w:val="auto"/>
          <w:kern w:val="0"/>
          <w:sz w:val="24"/>
          <w:szCs w:val="24"/>
          <w:highlight w:val="none"/>
        </w:rPr>
        <w:t xml:space="preserve">   </w:t>
      </w:r>
      <w:r>
        <w:rPr>
          <w:rFonts w:ascii="宋体" w:hAnsi="宋体"/>
          <w:color w:val="auto"/>
          <w:kern w:val="0"/>
          <w:sz w:val="24"/>
          <w:szCs w:val="24"/>
          <w:highlight w:val="none"/>
        </w:rPr>
        <w:t>4.2.1</w:t>
      </w:r>
      <w:r>
        <w:rPr>
          <w:rFonts w:hint="eastAsia" w:ascii="宋体" w:hAnsi="宋体"/>
          <w:color w:val="auto"/>
          <w:sz w:val="24"/>
          <w:szCs w:val="24"/>
          <w:highlight w:val="none"/>
        </w:rPr>
        <w:t>合同签订后</w:t>
      </w:r>
      <w:r>
        <w:rPr>
          <w:rFonts w:ascii="宋体" w:hAnsi="宋体"/>
          <w:color w:val="auto"/>
          <w:sz w:val="24"/>
          <w:szCs w:val="24"/>
          <w:highlight w:val="none"/>
        </w:rPr>
        <w:t>10个工作日内，买方向卖方支付合同总价</w:t>
      </w:r>
      <w:r>
        <w:rPr>
          <w:rFonts w:hint="eastAsia" w:ascii="宋体" w:hAnsi="宋体"/>
          <w:color w:val="auto"/>
          <w:sz w:val="24"/>
          <w:szCs w:val="24"/>
          <w:highlight w:val="none"/>
        </w:rPr>
        <w:t>50</w:t>
      </w:r>
      <w:r>
        <w:rPr>
          <w:rFonts w:ascii="宋体" w:hAnsi="宋体"/>
          <w:color w:val="auto"/>
          <w:sz w:val="24"/>
          <w:szCs w:val="24"/>
          <w:highlight w:val="none"/>
        </w:rPr>
        <w:t>%的预付款。</w:t>
      </w:r>
    </w:p>
    <w:p>
      <w:pPr>
        <w:tabs>
          <w:tab w:val="left" w:pos="5130"/>
        </w:tabs>
        <w:spacing w:line="360" w:lineRule="auto"/>
        <w:ind w:firstLine="360" w:firstLineChars="150"/>
        <w:rPr>
          <w:rFonts w:ascii="宋体" w:hAnsi="宋体"/>
          <w:color w:val="auto"/>
          <w:sz w:val="24"/>
          <w:szCs w:val="24"/>
          <w:highlight w:val="none"/>
        </w:rPr>
      </w:pPr>
      <w:r>
        <w:rPr>
          <w:rFonts w:ascii="宋体" w:hAnsi="宋体"/>
          <w:color w:val="auto"/>
          <w:kern w:val="0"/>
          <w:sz w:val="24"/>
          <w:szCs w:val="24"/>
          <w:highlight w:val="none"/>
        </w:rPr>
        <w:t>4.2.2</w:t>
      </w:r>
      <w:r>
        <w:rPr>
          <w:rFonts w:ascii="宋体" w:hAnsi="宋体"/>
          <w:color w:val="auto"/>
          <w:sz w:val="24"/>
          <w:szCs w:val="24"/>
          <w:highlight w:val="none"/>
        </w:rPr>
        <w:t>卖方供货安装、调试完毕，</w:t>
      </w:r>
      <w:r>
        <w:rPr>
          <w:rFonts w:hint="eastAsia" w:ascii="宋体" w:hAnsi="宋体"/>
          <w:color w:val="auto"/>
          <w:sz w:val="24"/>
          <w:szCs w:val="24"/>
          <w:highlight w:val="none"/>
        </w:rPr>
        <w:t>使用单位</w:t>
      </w:r>
      <w:r>
        <w:rPr>
          <w:rFonts w:ascii="宋体" w:hAnsi="宋体"/>
          <w:color w:val="auto"/>
          <w:sz w:val="24"/>
          <w:szCs w:val="24"/>
          <w:highlight w:val="none"/>
        </w:rPr>
        <w:t>验收合格后，卖方开具合同总价100%的</w:t>
      </w:r>
      <w:r>
        <w:rPr>
          <w:rFonts w:hint="eastAsia" w:ascii="宋体" w:hAnsi="宋体"/>
          <w:color w:val="auto"/>
          <w:sz w:val="24"/>
          <w:szCs w:val="24"/>
          <w:highlight w:val="none"/>
        </w:rPr>
        <w:t>正规发票</w:t>
      </w:r>
      <w:r>
        <w:rPr>
          <w:rFonts w:ascii="宋体" w:hAnsi="宋体"/>
          <w:color w:val="auto"/>
          <w:sz w:val="24"/>
          <w:szCs w:val="24"/>
          <w:highlight w:val="none"/>
        </w:rPr>
        <w:t>和全部货物清单给买方，买方在20个工作日内向卖方支</w:t>
      </w:r>
      <w:r>
        <w:rPr>
          <w:rFonts w:hint="eastAsia" w:ascii="宋体" w:hAnsi="宋体"/>
          <w:color w:val="auto"/>
          <w:sz w:val="24"/>
          <w:szCs w:val="24"/>
          <w:highlight w:val="none"/>
        </w:rPr>
        <w:t>付</w:t>
      </w:r>
      <w:r>
        <w:rPr>
          <w:rFonts w:ascii="宋体" w:hAnsi="宋体"/>
          <w:color w:val="auto"/>
          <w:sz w:val="24"/>
          <w:szCs w:val="24"/>
          <w:highlight w:val="none"/>
        </w:rPr>
        <w:t>至</w:t>
      </w:r>
      <w:r>
        <w:rPr>
          <w:rFonts w:hint="eastAsia" w:ascii="宋体" w:hAnsi="宋体"/>
          <w:color w:val="auto"/>
          <w:sz w:val="24"/>
          <w:szCs w:val="24"/>
          <w:highlight w:val="none"/>
        </w:rPr>
        <w:t>本合同总价</w:t>
      </w:r>
      <w:r>
        <w:rPr>
          <w:rFonts w:ascii="宋体" w:hAnsi="宋体"/>
          <w:color w:val="auto"/>
          <w:sz w:val="24"/>
          <w:szCs w:val="24"/>
          <w:highlight w:val="none"/>
        </w:rPr>
        <w:t>100%的款项。</w:t>
      </w:r>
    </w:p>
    <w:p>
      <w:pPr>
        <w:spacing w:line="360" w:lineRule="auto"/>
        <w:rPr>
          <w:rFonts w:ascii="宋体" w:hAnsi="宋体"/>
          <w:b/>
          <w:color w:val="auto"/>
          <w:sz w:val="24"/>
          <w:szCs w:val="24"/>
          <w:highlight w:val="none"/>
        </w:rPr>
      </w:pPr>
      <w:r>
        <w:rPr>
          <w:rFonts w:hint="eastAsia" w:ascii="宋体" w:hAnsi="宋体"/>
          <w:b/>
          <w:color w:val="auto"/>
          <w:sz w:val="24"/>
          <w:szCs w:val="24"/>
          <w:highlight w:val="none"/>
        </w:rPr>
        <w:t>5、技术资料：</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5.1卖方应在交付使用时向使用单位提供配套资料1套。</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5.2卖方在交货时应向使用单位提供货物的相关手续，包括品牌证书、装箱清单含货物的主附件、原产地证明书、品质保证书、出厂检验报告、合格证书、使用及维护说明书等。</w:t>
      </w:r>
    </w:p>
    <w:p>
      <w:pPr>
        <w:spacing w:line="360" w:lineRule="auto"/>
        <w:rPr>
          <w:rFonts w:ascii="宋体" w:hAnsi="宋体"/>
          <w:b/>
          <w:color w:val="auto"/>
          <w:sz w:val="24"/>
          <w:szCs w:val="24"/>
          <w:highlight w:val="none"/>
        </w:rPr>
      </w:pPr>
      <w:r>
        <w:rPr>
          <w:rFonts w:hint="eastAsia" w:ascii="宋体" w:hAnsi="宋体"/>
          <w:b/>
          <w:color w:val="auto"/>
          <w:sz w:val="24"/>
          <w:szCs w:val="24"/>
          <w:highlight w:val="none"/>
        </w:rPr>
        <w:t>6、验收</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6.1合同货物到达交货地点且卖方完成安装工作后，买卖双方同意，合同货物由使用单位验收并以使用单位的验收意见为准。合同货物安装后经使用单位验收合格视为最终验收合格。</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6.2合同货物验收时，由使用单位签署《厦门市政府采购验收报告》。</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6.3卖方应派代表参与验收过程，卖方未派代表参与或对验收意见有异议但未在验收完成后</w:t>
      </w:r>
      <w:r>
        <w:rPr>
          <w:rFonts w:ascii="宋体" w:hAnsi="宋体"/>
          <w:color w:val="auto"/>
          <w:sz w:val="24"/>
          <w:szCs w:val="24"/>
          <w:highlight w:val="none"/>
        </w:rPr>
        <w:t>3</w:t>
      </w:r>
      <w:r>
        <w:rPr>
          <w:rFonts w:hint="eastAsia" w:ascii="宋体" w:hAnsi="宋体"/>
          <w:color w:val="auto"/>
          <w:sz w:val="24"/>
          <w:szCs w:val="24"/>
          <w:highlight w:val="none"/>
        </w:rPr>
        <w:t>个工作日内书面提出的，视为卖方对验收意见无异议。</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6.4最终验收合格后，卖方应在使用单位要求的时间内直接交付使用单位使用。合同货物交付使用前由卖方负责保管，合同货物的毁损或灭失风险由卖方承担。</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6.5买方根据本合同约定提出换货、退货或解除合同的，卖方应在收到买方或使用单位通知后3个工作日内自行收回不符合合同约定的货物，并承担相应费用。</w:t>
      </w:r>
    </w:p>
    <w:p>
      <w:pPr>
        <w:spacing w:line="360" w:lineRule="auto"/>
        <w:rPr>
          <w:rFonts w:ascii="宋体" w:hAnsi="宋体"/>
          <w:b/>
          <w:color w:val="auto"/>
          <w:sz w:val="24"/>
          <w:szCs w:val="24"/>
          <w:highlight w:val="none"/>
        </w:rPr>
      </w:pPr>
      <w:r>
        <w:rPr>
          <w:rFonts w:hint="eastAsia" w:ascii="宋体" w:hAnsi="宋体"/>
          <w:b/>
          <w:color w:val="auto"/>
          <w:sz w:val="24"/>
          <w:szCs w:val="24"/>
          <w:highlight w:val="none"/>
        </w:rPr>
        <w:t>7、售后服务</w:t>
      </w:r>
    </w:p>
    <w:p>
      <w:pPr>
        <w:tabs>
          <w:tab w:val="left" w:pos="0"/>
        </w:tabs>
        <w:adjustRightInd w:val="0"/>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货物验收后的维修等售后服务由卖方直接向最</w:t>
      </w:r>
      <w:r>
        <w:rPr>
          <w:rFonts w:ascii="宋体" w:hAnsi="宋体"/>
          <w:color w:val="auto"/>
          <w:sz w:val="24"/>
          <w:szCs w:val="24"/>
          <w:highlight w:val="none"/>
        </w:rPr>
        <w:t>终用户</w:t>
      </w:r>
      <w:r>
        <w:rPr>
          <w:rFonts w:hint="eastAsia" w:ascii="宋体" w:hAnsi="宋体"/>
          <w:color w:val="auto"/>
          <w:sz w:val="24"/>
          <w:szCs w:val="24"/>
          <w:highlight w:val="none"/>
        </w:rPr>
        <w:t>提供，卖方应就货物售后服务与最</w:t>
      </w:r>
      <w:r>
        <w:rPr>
          <w:rFonts w:ascii="宋体" w:hAnsi="宋体"/>
          <w:color w:val="auto"/>
          <w:sz w:val="24"/>
          <w:szCs w:val="24"/>
          <w:highlight w:val="none"/>
        </w:rPr>
        <w:t>终用户</w:t>
      </w:r>
      <w:r>
        <w:rPr>
          <w:rFonts w:hint="eastAsia" w:ascii="宋体" w:hAnsi="宋体"/>
          <w:color w:val="auto"/>
          <w:sz w:val="24"/>
          <w:szCs w:val="24"/>
          <w:highlight w:val="none"/>
        </w:rPr>
        <w:t>另行签订相应服务合同，买方不向最终</w:t>
      </w:r>
      <w:r>
        <w:rPr>
          <w:rFonts w:ascii="宋体" w:hAnsi="宋体"/>
          <w:color w:val="auto"/>
          <w:sz w:val="24"/>
          <w:szCs w:val="24"/>
          <w:highlight w:val="none"/>
        </w:rPr>
        <w:t>用</w:t>
      </w:r>
      <w:r>
        <w:rPr>
          <w:rFonts w:hint="eastAsia" w:ascii="宋体" w:hAnsi="宋体"/>
          <w:color w:val="auto"/>
          <w:sz w:val="24"/>
          <w:szCs w:val="24"/>
          <w:highlight w:val="none"/>
        </w:rPr>
        <w:t>户承担售后服务义务。</w:t>
      </w:r>
    </w:p>
    <w:p>
      <w:pPr>
        <w:spacing w:line="360" w:lineRule="auto"/>
        <w:rPr>
          <w:rFonts w:ascii="宋体" w:hAnsi="宋体"/>
          <w:b/>
          <w:color w:val="auto"/>
          <w:sz w:val="24"/>
          <w:szCs w:val="24"/>
          <w:highlight w:val="none"/>
        </w:rPr>
      </w:pPr>
      <w:r>
        <w:rPr>
          <w:rFonts w:hint="eastAsia" w:ascii="宋体" w:hAnsi="宋体"/>
          <w:b/>
          <w:color w:val="auto"/>
          <w:sz w:val="24"/>
          <w:szCs w:val="24"/>
          <w:highlight w:val="none"/>
        </w:rPr>
        <w:t>8、知识产权</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卖方保证使用单位在使用该货物或其任何一部分时不受到第三方关于侵犯专利权、商标权或著作权等知识产权的指控。如果任何第三方提出侵权指控，则与买方、使用单位无关，卖方须自行与第三方交涉并承担可能发生的责任与一切费用。如买方因此而遭致损失的，卖方应赔偿该损失。</w:t>
      </w:r>
    </w:p>
    <w:p>
      <w:pPr>
        <w:spacing w:line="360" w:lineRule="auto"/>
        <w:rPr>
          <w:rFonts w:ascii="宋体" w:hAnsi="宋体"/>
          <w:b/>
          <w:color w:val="auto"/>
          <w:sz w:val="24"/>
          <w:szCs w:val="24"/>
          <w:highlight w:val="none"/>
        </w:rPr>
      </w:pPr>
      <w:r>
        <w:rPr>
          <w:rFonts w:hint="eastAsia" w:ascii="宋体" w:hAnsi="宋体"/>
          <w:b/>
          <w:color w:val="auto"/>
          <w:sz w:val="24"/>
          <w:szCs w:val="24"/>
          <w:highlight w:val="none"/>
        </w:rPr>
        <w:t>9、违约责任</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9.1卖方未能按时交货或未能按时交付使用的，每逾期一日，卖方应支付逾期交货货款1‰的违约金。逾期超过10个日历日，买方有权单方解除本合同，卖方应另外支付合同总价20％的违约金。</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9.2合同货物验收不合格的，买方有权选择解除合同或换货。如买方选择换货，卖方重新供货导致的交货期延迟的，按9.1条处理；若买方选择单方解除合同的，卖方支付合同总价20%的违约金。</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9.3</w:t>
      </w:r>
      <w:r>
        <w:rPr>
          <w:rFonts w:hint="eastAsia" w:ascii="宋体" w:hAnsi="宋体"/>
          <w:bCs/>
          <w:color w:val="auto"/>
          <w:kern w:val="0"/>
          <w:sz w:val="24"/>
          <w:szCs w:val="24"/>
          <w:highlight w:val="none"/>
        </w:rPr>
        <w:t>卖方应保证提供原产、正宗品牌货物，不得用伪劣货物替代。否则，如</w:t>
      </w:r>
      <w:r>
        <w:rPr>
          <w:rFonts w:hint="eastAsia" w:ascii="宋体" w:hAnsi="宋体"/>
          <w:color w:val="auto"/>
          <w:sz w:val="24"/>
          <w:szCs w:val="24"/>
          <w:highlight w:val="none"/>
        </w:rPr>
        <w:t>在合同货物最终验收合格前发现的，按9.2条处理；在合同货物最终验收合格后发现的，买方有权退货，卖方应另外向买方支付合同总价20％的违约金。</w:t>
      </w:r>
    </w:p>
    <w:p>
      <w:pPr>
        <w:spacing w:line="360" w:lineRule="auto"/>
        <w:ind w:firstLine="480" w:firstLineChars="200"/>
        <w:rPr>
          <w:rFonts w:ascii="宋体" w:hAnsi="宋体"/>
          <w:bCs/>
          <w:color w:val="auto"/>
          <w:kern w:val="0"/>
          <w:sz w:val="24"/>
          <w:szCs w:val="24"/>
          <w:highlight w:val="none"/>
        </w:rPr>
      </w:pPr>
      <w:r>
        <w:rPr>
          <w:rFonts w:hint="eastAsia" w:ascii="宋体" w:hAnsi="宋体"/>
          <w:bCs/>
          <w:color w:val="auto"/>
          <w:kern w:val="0"/>
          <w:sz w:val="24"/>
          <w:szCs w:val="24"/>
          <w:highlight w:val="none"/>
        </w:rPr>
        <w:t>9.4在生产过程或验收过程中发现卖方对中标货物进行分包、转包，买方有权单方解除合同并有权拒付全部货款。</w:t>
      </w:r>
    </w:p>
    <w:p>
      <w:pPr>
        <w:spacing w:line="360" w:lineRule="auto"/>
        <w:ind w:firstLine="480" w:firstLineChars="200"/>
        <w:rPr>
          <w:rFonts w:ascii="宋体" w:hAnsi="宋体"/>
          <w:color w:val="auto"/>
          <w:sz w:val="24"/>
          <w:szCs w:val="24"/>
          <w:highlight w:val="none"/>
        </w:rPr>
      </w:pPr>
      <w:r>
        <w:rPr>
          <w:rFonts w:hint="eastAsia" w:ascii="宋体" w:hAnsi="宋体"/>
          <w:bCs/>
          <w:color w:val="auto"/>
          <w:kern w:val="0"/>
          <w:sz w:val="24"/>
          <w:szCs w:val="24"/>
          <w:highlight w:val="none"/>
        </w:rPr>
        <w:t>9.5卖方有虚报各项技术指标等</w:t>
      </w:r>
      <w:r>
        <w:rPr>
          <w:rFonts w:hint="eastAsia" w:ascii="宋体" w:hAnsi="宋体"/>
          <w:color w:val="auto"/>
          <w:sz w:val="24"/>
          <w:szCs w:val="24"/>
          <w:highlight w:val="none"/>
        </w:rPr>
        <w:t>弄虚作假、隐瞒事实内容等情形</w:t>
      </w:r>
      <w:r>
        <w:rPr>
          <w:rFonts w:hint="eastAsia" w:ascii="宋体" w:hAnsi="宋体"/>
          <w:bCs/>
          <w:color w:val="auto"/>
          <w:kern w:val="0"/>
          <w:sz w:val="24"/>
          <w:szCs w:val="24"/>
          <w:highlight w:val="none"/>
        </w:rPr>
        <w:t>，</w:t>
      </w:r>
      <w:r>
        <w:rPr>
          <w:rFonts w:hint="eastAsia" w:ascii="宋体" w:hAnsi="宋体"/>
          <w:color w:val="auto"/>
          <w:sz w:val="24"/>
          <w:szCs w:val="24"/>
          <w:highlight w:val="none"/>
        </w:rPr>
        <w:t>在合同货物最终验收合格前发现的，按9.2条处理；在合同货物最终验收合格后发现的，买方有权退货，卖方应另外向买方支付合同总价20％的违约金。</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9.6因卖方原因导致退换货的，卖方应承担退换货所需的一切费用。如卖方未在规定时间内收回不合格货物，买方不对上述货物的灭失或损坏承担任何责任。如卖方逾期超过20个日历日仍未收回的，买方有权自行处理上述货物。</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9.</w:t>
      </w:r>
      <w:r>
        <w:rPr>
          <w:rFonts w:ascii="宋体" w:hAnsi="宋体"/>
          <w:color w:val="auto"/>
          <w:sz w:val="24"/>
          <w:szCs w:val="24"/>
          <w:highlight w:val="none"/>
        </w:rPr>
        <w:t>7</w:t>
      </w:r>
      <w:r>
        <w:rPr>
          <w:rFonts w:hint="eastAsia" w:ascii="宋体" w:hAnsi="宋体"/>
          <w:color w:val="auto"/>
          <w:sz w:val="24"/>
          <w:szCs w:val="24"/>
          <w:highlight w:val="none"/>
        </w:rPr>
        <w:t>除本合同另有约定外，在买方发出的违约通知后30天内仍未纠正其任何一种违约行为，买方有权单方解除本合同，卖方除应退还买方已支付的款项外，还应向买方支付合同总价20％的违约金。</w:t>
      </w:r>
    </w:p>
    <w:p>
      <w:pPr>
        <w:spacing w:line="360" w:lineRule="auto"/>
        <w:ind w:firstLine="460" w:firstLineChars="192"/>
        <w:rPr>
          <w:rFonts w:ascii="宋体" w:hAnsi="宋体"/>
          <w:color w:val="auto"/>
          <w:sz w:val="24"/>
          <w:szCs w:val="24"/>
          <w:highlight w:val="none"/>
        </w:rPr>
      </w:pPr>
      <w:r>
        <w:rPr>
          <w:rFonts w:hint="eastAsia" w:ascii="宋体" w:hAnsi="宋体"/>
          <w:color w:val="auto"/>
          <w:sz w:val="24"/>
          <w:szCs w:val="24"/>
          <w:highlight w:val="none"/>
        </w:rPr>
        <w:t>9.</w:t>
      </w:r>
      <w:r>
        <w:rPr>
          <w:rFonts w:ascii="宋体" w:hAnsi="宋体"/>
          <w:color w:val="auto"/>
          <w:sz w:val="24"/>
          <w:szCs w:val="24"/>
          <w:highlight w:val="none"/>
        </w:rPr>
        <w:t>8</w:t>
      </w:r>
      <w:r>
        <w:rPr>
          <w:rFonts w:hint="eastAsia" w:ascii="宋体" w:hAnsi="宋体"/>
          <w:color w:val="auto"/>
          <w:sz w:val="24"/>
          <w:szCs w:val="24"/>
          <w:highlight w:val="none"/>
        </w:rPr>
        <w:t>本合同约定的违约金无法弥补买方损失的，卖方应继续承担相应的赔偿责任。买方有权直接从未付的款项中扣除卖方根据本合同约定应付未付的违约金、赔偿金等。</w:t>
      </w:r>
    </w:p>
    <w:p>
      <w:pPr>
        <w:spacing w:line="360" w:lineRule="auto"/>
        <w:rPr>
          <w:rFonts w:ascii="宋体" w:hAnsi="宋体"/>
          <w:b/>
          <w:color w:val="auto"/>
          <w:sz w:val="24"/>
          <w:szCs w:val="24"/>
          <w:highlight w:val="none"/>
        </w:rPr>
      </w:pPr>
      <w:r>
        <w:rPr>
          <w:rFonts w:ascii="宋体" w:hAnsi="宋体"/>
          <w:b/>
          <w:color w:val="auto"/>
          <w:sz w:val="24"/>
          <w:szCs w:val="24"/>
          <w:highlight w:val="none"/>
        </w:rPr>
        <w:t>10</w:t>
      </w:r>
      <w:r>
        <w:rPr>
          <w:rFonts w:hint="eastAsia" w:ascii="宋体" w:hAnsi="宋体"/>
          <w:b/>
          <w:color w:val="auto"/>
          <w:sz w:val="24"/>
          <w:szCs w:val="24"/>
          <w:highlight w:val="none"/>
        </w:rPr>
        <w:t>、不可抗力</w:t>
      </w:r>
    </w:p>
    <w:p>
      <w:pPr>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10</w:t>
      </w:r>
      <w:r>
        <w:rPr>
          <w:rFonts w:hint="eastAsia" w:ascii="宋体" w:hAnsi="宋体"/>
          <w:color w:val="auto"/>
          <w:sz w:val="24"/>
          <w:szCs w:val="24"/>
          <w:highlight w:val="none"/>
        </w:rPr>
        <w:t>.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pPr>
        <w:spacing w:line="360" w:lineRule="auto"/>
        <w:ind w:firstLine="470" w:firstLineChars="196"/>
        <w:rPr>
          <w:rFonts w:ascii="宋体" w:hAnsi="宋体"/>
          <w:color w:val="auto"/>
          <w:sz w:val="24"/>
          <w:szCs w:val="24"/>
          <w:highlight w:val="none"/>
        </w:rPr>
      </w:pPr>
      <w:r>
        <w:rPr>
          <w:rFonts w:ascii="宋体" w:hAnsi="宋体"/>
          <w:color w:val="auto"/>
          <w:sz w:val="24"/>
          <w:szCs w:val="24"/>
          <w:highlight w:val="none"/>
        </w:rPr>
        <w:t>10</w:t>
      </w:r>
      <w:r>
        <w:rPr>
          <w:rFonts w:hint="eastAsia" w:ascii="宋体" w:hAnsi="宋体"/>
          <w:color w:val="auto"/>
          <w:sz w:val="24"/>
          <w:szCs w:val="24"/>
          <w:highlight w:val="none"/>
        </w:rPr>
        <w:t>.2本合同中的不可抗力指不能预见、不能避免并不能克服的客观情况。包括但不限于：自然灾害如地震、台风、洪水、火灾；政府行为、法律规定或其适用的变化或者其他任何无法预见、避免或者控制的事件。</w:t>
      </w:r>
    </w:p>
    <w:p>
      <w:pPr>
        <w:spacing w:line="360" w:lineRule="auto"/>
        <w:ind w:firstLine="470" w:firstLineChars="196"/>
        <w:rPr>
          <w:rFonts w:ascii="宋体" w:hAnsi="宋体"/>
          <w:b/>
          <w:color w:val="auto"/>
          <w:sz w:val="24"/>
          <w:szCs w:val="24"/>
          <w:highlight w:val="none"/>
        </w:rPr>
      </w:pPr>
      <w:r>
        <w:rPr>
          <w:rFonts w:ascii="宋体" w:hAnsi="宋体"/>
          <w:color w:val="auto"/>
          <w:sz w:val="24"/>
          <w:szCs w:val="24"/>
          <w:highlight w:val="none"/>
        </w:rPr>
        <w:t>10</w:t>
      </w:r>
      <w:r>
        <w:rPr>
          <w:rFonts w:hint="eastAsia" w:ascii="宋体" w:hAnsi="宋体"/>
          <w:color w:val="auto"/>
          <w:sz w:val="24"/>
          <w:szCs w:val="24"/>
          <w:highlight w:val="none"/>
        </w:rPr>
        <w:t>.3当事人一方因不可抗力的原因不能履行合同的，应及时通知对方，以减轻可能给对方造成的损失，并应当在合理期限内提供证明。</w:t>
      </w:r>
    </w:p>
    <w:p>
      <w:pPr>
        <w:spacing w:line="360" w:lineRule="auto"/>
        <w:rPr>
          <w:rFonts w:ascii="宋体" w:hAnsi="宋体"/>
          <w:b/>
          <w:bCs/>
          <w:color w:val="auto"/>
          <w:kern w:val="0"/>
          <w:sz w:val="24"/>
          <w:szCs w:val="24"/>
          <w:highlight w:val="none"/>
        </w:rPr>
      </w:pPr>
      <w:r>
        <w:rPr>
          <w:rFonts w:hint="eastAsia" w:ascii="宋体" w:hAnsi="宋体"/>
          <w:b/>
          <w:bCs/>
          <w:color w:val="auto"/>
          <w:kern w:val="0"/>
          <w:sz w:val="24"/>
          <w:szCs w:val="24"/>
          <w:highlight w:val="none"/>
        </w:rPr>
        <w:t>1</w:t>
      </w:r>
      <w:r>
        <w:rPr>
          <w:rFonts w:ascii="宋体" w:hAnsi="宋体"/>
          <w:b/>
          <w:bCs/>
          <w:color w:val="auto"/>
          <w:kern w:val="0"/>
          <w:sz w:val="24"/>
          <w:szCs w:val="24"/>
          <w:highlight w:val="none"/>
        </w:rPr>
        <w:t>1</w:t>
      </w:r>
      <w:r>
        <w:rPr>
          <w:rFonts w:hint="eastAsia" w:ascii="宋体" w:hAnsi="宋体"/>
          <w:b/>
          <w:bCs/>
          <w:color w:val="auto"/>
          <w:kern w:val="0"/>
          <w:sz w:val="24"/>
          <w:szCs w:val="24"/>
          <w:highlight w:val="none"/>
        </w:rPr>
        <w:t>、合同纠纷处理方式</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因本合同或与本合同有关的一切事项发生争议，由双方友好协商解决。协商不成的，任何一方均可向买方所在地人民法院提起诉讼。</w:t>
      </w:r>
    </w:p>
    <w:p>
      <w:pPr>
        <w:spacing w:line="360" w:lineRule="auto"/>
        <w:rPr>
          <w:rFonts w:ascii="宋体" w:hAnsi="宋体"/>
          <w:b/>
          <w:bCs/>
          <w:color w:val="auto"/>
          <w:kern w:val="0"/>
          <w:sz w:val="24"/>
          <w:szCs w:val="24"/>
          <w:highlight w:val="none"/>
        </w:rPr>
      </w:pPr>
      <w:r>
        <w:rPr>
          <w:rFonts w:hint="eastAsia" w:ascii="宋体" w:hAnsi="宋体"/>
          <w:b/>
          <w:color w:val="auto"/>
          <w:sz w:val="24"/>
          <w:szCs w:val="24"/>
          <w:highlight w:val="none"/>
        </w:rPr>
        <w:t>1</w:t>
      </w:r>
      <w:r>
        <w:rPr>
          <w:rFonts w:ascii="宋体" w:hAnsi="宋体"/>
          <w:b/>
          <w:color w:val="auto"/>
          <w:sz w:val="24"/>
          <w:szCs w:val="24"/>
          <w:highlight w:val="none"/>
        </w:rPr>
        <w:t>2</w:t>
      </w:r>
      <w:r>
        <w:rPr>
          <w:rFonts w:hint="eastAsia" w:ascii="宋体" w:hAnsi="宋体"/>
          <w:b/>
          <w:color w:val="auto"/>
          <w:sz w:val="24"/>
          <w:szCs w:val="24"/>
          <w:highlight w:val="none"/>
        </w:rPr>
        <w:t>、</w:t>
      </w:r>
      <w:r>
        <w:rPr>
          <w:rFonts w:hint="eastAsia" w:ascii="宋体" w:hAnsi="宋体"/>
          <w:b/>
          <w:bCs/>
          <w:color w:val="auto"/>
          <w:kern w:val="0"/>
          <w:sz w:val="24"/>
          <w:szCs w:val="24"/>
          <w:highlight w:val="none"/>
        </w:rPr>
        <w:t>其他约定</w:t>
      </w:r>
    </w:p>
    <w:p>
      <w:pPr>
        <w:spacing w:line="360" w:lineRule="auto"/>
        <w:ind w:firstLine="600" w:firstLineChars="250"/>
        <w:rPr>
          <w:rFonts w:ascii="宋体" w:hAnsi="宋体"/>
          <w:color w:val="auto"/>
          <w:sz w:val="24"/>
          <w:szCs w:val="24"/>
          <w:highlight w:val="none"/>
        </w:rPr>
      </w:pPr>
      <w:r>
        <w:rPr>
          <w:rFonts w:hint="eastAsia" w:ascii="宋体" w:hAnsi="宋体"/>
          <w:color w:val="auto"/>
          <w:sz w:val="24"/>
          <w:szCs w:val="24"/>
          <w:highlight w:val="none"/>
        </w:rPr>
        <w:t>12.1本合同未尽事宜，买卖双方另行补充。</w:t>
      </w:r>
    </w:p>
    <w:p>
      <w:pPr>
        <w:spacing w:line="360" w:lineRule="auto"/>
        <w:ind w:firstLine="600" w:firstLineChars="250"/>
        <w:rPr>
          <w:rFonts w:ascii="宋体" w:hAnsi="宋体"/>
          <w:color w:val="auto"/>
          <w:sz w:val="24"/>
          <w:szCs w:val="24"/>
          <w:highlight w:val="none"/>
        </w:rPr>
      </w:pPr>
      <w:r>
        <w:rPr>
          <w:rFonts w:hint="eastAsia" w:ascii="宋体" w:hAnsi="宋体"/>
          <w:color w:val="auto"/>
          <w:sz w:val="24"/>
          <w:szCs w:val="24"/>
          <w:highlight w:val="none"/>
        </w:rPr>
        <w:t>12.2卖方同意，由卖方</w:t>
      </w:r>
      <w:r>
        <w:rPr>
          <w:rFonts w:hint="eastAsia" w:ascii="宋体" w:hAnsi="宋体"/>
          <w:bCs/>
          <w:color w:val="auto"/>
          <w:kern w:val="0"/>
          <w:sz w:val="24"/>
          <w:szCs w:val="24"/>
          <w:highlight w:val="none"/>
        </w:rPr>
        <w:t>依据与最终用户的服务协议直接向最终用户履行保修等售后服务义务。</w:t>
      </w:r>
      <w:r>
        <w:rPr>
          <w:rFonts w:hint="eastAsia" w:ascii="宋体" w:hAnsi="宋体"/>
          <w:color w:val="auto"/>
          <w:sz w:val="24"/>
          <w:szCs w:val="24"/>
          <w:highlight w:val="none"/>
        </w:rPr>
        <w:t>。</w:t>
      </w:r>
    </w:p>
    <w:p>
      <w:pPr>
        <w:spacing w:line="360" w:lineRule="auto"/>
        <w:ind w:firstLine="600" w:firstLineChars="250"/>
        <w:rPr>
          <w:rFonts w:ascii="宋体" w:hAnsi="宋体"/>
          <w:color w:val="auto"/>
          <w:sz w:val="24"/>
          <w:szCs w:val="24"/>
          <w:highlight w:val="none"/>
        </w:rPr>
      </w:pPr>
      <w:r>
        <w:rPr>
          <w:rFonts w:hint="eastAsia" w:ascii="宋体" w:hAnsi="宋体"/>
          <w:color w:val="auto"/>
          <w:sz w:val="24"/>
          <w:szCs w:val="24"/>
          <w:highlight w:val="none"/>
        </w:rPr>
        <w:t>12.3本合同经双方签订之日起生效。一式伍份，买方贰份，卖方贰份，送厦门市财政局政府采购监管处备案壹份，具有同等法律效力。</w:t>
      </w:r>
    </w:p>
    <w:p>
      <w:pPr>
        <w:spacing w:line="360" w:lineRule="auto"/>
        <w:ind w:firstLine="600" w:firstLineChars="250"/>
        <w:rPr>
          <w:rFonts w:ascii="宋体" w:hAnsi="宋体"/>
          <w:color w:val="auto"/>
          <w:sz w:val="24"/>
          <w:szCs w:val="24"/>
          <w:highlight w:val="none"/>
        </w:rPr>
      </w:pPr>
    </w:p>
    <w:p>
      <w:pPr>
        <w:spacing w:line="360" w:lineRule="auto"/>
        <w:rPr>
          <w:rFonts w:ascii="宋体" w:hAnsi="宋体" w:cs="宋体"/>
          <w:color w:val="auto"/>
          <w:kern w:val="0"/>
          <w:sz w:val="24"/>
          <w:szCs w:val="24"/>
          <w:highlight w:val="none"/>
        </w:rPr>
      </w:pPr>
      <w:r>
        <w:rPr>
          <w:rFonts w:hint="eastAsia" w:ascii="宋体" w:hAnsi="宋体"/>
          <w:color w:val="auto"/>
          <w:sz w:val="24"/>
          <w:szCs w:val="24"/>
          <w:highlight w:val="none"/>
        </w:rPr>
        <w:t xml:space="preserve">买方：厦门万翔网络商务有限公司                  卖方： </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 xml:space="preserve">单位地址：厦门市湖里区机场北路476号            单位地址： </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法定代表人：                                     法定代表人：</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授权代表：                                       授权代表：</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签订时间：                                       签订时间：</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电    话：                                       电    话：</w:t>
      </w:r>
    </w:p>
    <w:p>
      <w:pPr>
        <w:spacing w:line="360" w:lineRule="auto"/>
        <w:ind w:left="4560" w:right="-512" w:rightChars="-244" w:hanging="4560" w:hangingChars="1900"/>
        <w:rPr>
          <w:rFonts w:ascii="宋体" w:hAnsi="宋体"/>
          <w:color w:val="auto"/>
          <w:sz w:val="24"/>
          <w:szCs w:val="24"/>
          <w:highlight w:val="none"/>
        </w:rPr>
      </w:pPr>
      <w:r>
        <w:rPr>
          <w:rFonts w:hint="eastAsia" w:ascii="宋体" w:hAnsi="宋体"/>
          <w:color w:val="auto"/>
          <w:sz w:val="24"/>
          <w:szCs w:val="24"/>
          <w:highlight w:val="none"/>
        </w:rPr>
        <w:t>开户银行：</w:t>
      </w:r>
      <w:r>
        <w:rPr>
          <w:rFonts w:hint="eastAsia" w:ascii="宋体" w:hAnsi="宋体"/>
          <w:bCs/>
          <w:color w:val="auto"/>
          <w:sz w:val="24"/>
          <w:szCs w:val="24"/>
          <w:highlight w:val="none"/>
        </w:rPr>
        <w:t xml:space="preserve">建设银行股份有限公司厦门分行机场支行   </w:t>
      </w:r>
      <w:r>
        <w:rPr>
          <w:rFonts w:hint="eastAsia" w:ascii="宋体" w:hAnsi="宋体"/>
          <w:color w:val="auto"/>
          <w:sz w:val="24"/>
          <w:szCs w:val="24"/>
          <w:highlight w:val="none"/>
        </w:rPr>
        <w:t xml:space="preserve">开户银行： </w:t>
      </w:r>
    </w:p>
    <w:p>
      <w:pPr>
        <w:spacing w:line="360" w:lineRule="auto"/>
        <w:rPr>
          <w:rFonts w:hint="eastAsia" w:ascii="宋体" w:hAnsi="宋体"/>
          <w:color w:val="auto"/>
          <w:sz w:val="24"/>
          <w:szCs w:val="24"/>
          <w:highlight w:val="none"/>
        </w:rPr>
      </w:pPr>
      <w:r>
        <w:rPr>
          <w:rFonts w:hint="eastAsia" w:ascii="宋体" w:hAnsi="宋体"/>
          <w:color w:val="auto"/>
          <w:sz w:val="24"/>
          <w:szCs w:val="24"/>
          <w:highlight w:val="none"/>
        </w:rPr>
        <w:t>账号：</w:t>
      </w:r>
      <w:r>
        <w:rPr>
          <w:rFonts w:ascii="宋体" w:hAnsi="宋体"/>
          <w:color w:val="auto"/>
          <w:sz w:val="24"/>
          <w:szCs w:val="24"/>
          <w:highlight w:val="none"/>
        </w:rPr>
        <w:t xml:space="preserve">35101570201052503924              </w:t>
      </w:r>
      <w:r>
        <w:rPr>
          <w:rFonts w:hint="eastAsia" w:ascii="宋体" w:hAnsi="宋体"/>
          <w:color w:val="auto"/>
          <w:sz w:val="24"/>
          <w:szCs w:val="24"/>
          <w:highlight w:val="none"/>
        </w:rPr>
        <w:t xml:space="preserve">     账号：</w:t>
      </w:r>
    </w:p>
    <w:p>
      <w:pPr>
        <w:spacing w:line="360" w:lineRule="auto"/>
        <w:rPr>
          <w:rFonts w:hint="eastAsia" w:ascii="宋体" w:hAnsi="宋体"/>
          <w:color w:val="auto"/>
          <w:sz w:val="24"/>
          <w:szCs w:val="24"/>
          <w:highlight w:val="none"/>
        </w:rPr>
      </w:pPr>
    </w:p>
    <w:p>
      <w:pPr>
        <w:spacing w:line="360" w:lineRule="auto"/>
        <w:rPr>
          <w:rFonts w:hint="eastAsia" w:ascii="宋体" w:hAnsi="宋体"/>
          <w:color w:val="auto"/>
          <w:sz w:val="24"/>
          <w:szCs w:val="24"/>
          <w:highlight w:val="none"/>
        </w:rPr>
      </w:pPr>
    </w:p>
    <w:p>
      <w:pPr>
        <w:spacing w:line="360" w:lineRule="auto"/>
        <w:rPr>
          <w:rFonts w:hint="eastAsia" w:ascii="宋体" w:hAnsi="宋体"/>
          <w:color w:val="auto"/>
          <w:sz w:val="24"/>
          <w:szCs w:val="24"/>
          <w:highlight w:val="none"/>
        </w:rPr>
      </w:pPr>
    </w:p>
    <w:p>
      <w:pPr>
        <w:spacing w:line="360" w:lineRule="auto"/>
        <w:rPr>
          <w:rFonts w:hint="eastAsia" w:ascii="宋体" w:hAnsi="宋体"/>
          <w:color w:val="auto"/>
          <w:sz w:val="24"/>
          <w:szCs w:val="24"/>
          <w:highlight w:val="none"/>
        </w:rPr>
      </w:pPr>
    </w:p>
    <w:p>
      <w:pPr>
        <w:spacing w:line="360" w:lineRule="auto"/>
        <w:rPr>
          <w:rFonts w:hint="eastAsia" w:ascii="宋体" w:hAnsi="宋体"/>
          <w:color w:val="auto"/>
          <w:sz w:val="24"/>
          <w:szCs w:val="24"/>
          <w:highlight w:val="none"/>
        </w:rPr>
      </w:pPr>
    </w:p>
    <w:p>
      <w:pPr>
        <w:spacing w:line="360" w:lineRule="auto"/>
        <w:rPr>
          <w:rFonts w:hint="eastAsia" w:ascii="宋体" w:hAnsi="宋体"/>
          <w:color w:val="auto"/>
          <w:sz w:val="24"/>
          <w:szCs w:val="24"/>
          <w:highlight w:val="none"/>
        </w:rPr>
      </w:pPr>
    </w:p>
    <w:p>
      <w:pPr>
        <w:spacing w:line="360" w:lineRule="auto"/>
        <w:rPr>
          <w:rFonts w:hint="eastAsia" w:ascii="宋体" w:hAnsi="宋体"/>
          <w:color w:val="auto"/>
          <w:sz w:val="24"/>
          <w:szCs w:val="24"/>
          <w:highlight w:val="none"/>
        </w:rPr>
      </w:pPr>
    </w:p>
    <w:p>
      <w:pPr>
        <w:spacing w:line="360" w:lineRule="auto"/>
        <w:rPr>
          <w:rFonts w:hint="eastAsia" w:ascii="宋体" w:hAnsi="宋体"/>
          <w:color w:val="auto"/>
          <w:sz w:val="24"/>
          <w:szCs w:val="24"/>
          <w:highlight w:val="none"/>
        </w:rPr>
      </w:pPr>
    </w:p>
    <w:p>
      <w:pPr>
        <w:spacing w:line="360" w:lineRule="auto"/>
        <w:rPr>
          <w:rFonts w:hint="eastAsia" w:ascii="宋体" w:hAnsi="宋体"/>
          <w:color w:val="auto"/>
          <w:sz w:val="24"/>
          <w:szCs w:val="24"/>
          <w:highlight w:val="none"/>
        </w:rPr>
      </w:pPr>
    </w:p>
    <w:p>
      <w:pPr>
        <w:spacing w:line="360" w:lineRule="auto"/>
        <w:rPr>
          <w:rFonts w:hint="eastAsia" w:ascii="宋体" w:hAnsi="宋体"/>
          <w:color w:val="auto"/>
          <w:sz w:val="24"/>
          <w:szCs w:val="24"/>
          <w:highlight w:val="none"/>
        </w:rPr>
      </w:pPr>
    </w:p>
    <w:p>
      <w:pPr>
        <w:spacing w:line="360" w:lineRule="auto"/>
        <w:rPr>
          <w:rFonts w:hint="eastAsia" w:ascii="宋体" w:hAnsi="宋体"/>
          <w:color w:val="auto"/>
          <w:sz w:val="24"/>
          <w:szCs w:val="24"/>
          <w:highlight w:val="none"/>
        </w:rPr>
      </w:pPr>
    </w:p>
    <w:p>
      <w:pPr>
        <w:spacing w:line="360" w:lineRule="auto"/>
        <w:rPr>
          <w:rFonts w:hint="eastAsia" w:ascii="宋体" w:hAnsi="宋体"/>
          <w:color w:val="auto"/>
          <w:sz w:val="24"/>
          <w:szCs w:val="24"/>
          <w:highlight w:val="none"/>
        </w:rPr>
      </w:pPr>
    </w:p>
    <w:p>
      <w:pPr>
        <w:spacing w:line="360" w:lineRule="auto"/>
        <w:jc w:val="center"/>
        <w:rPr>
          <w:rFonts w:hint="eastAsia" w:ascii="宋体" w:hAnsi="宋体"/>
          <w:b/>
          <w:bCs/>
          <w:color w:val="auto"/>
          <w:sz w:val="24"/>
          <w:szCs w:val="24"/>
          <w:highlight w:val="none"/>
        </w:rPr>
      </w:pPr>
    </w:p>
    <w:p>
      <w:pPr>
        <w:spacing w:line="360" w:lineRule="auto"/>
        <w:jc w:val="center"/>
        <w:rPr>
          <w:rFonts w:hint="eastAsia" w:ascii="宋体" w:hAnsi="宋体"/>
          <w:b/>
          <w:bCs/>
          <w:color w:val="auto"/>
          <w:sz w:val="24"/>
          <w:szCs w:val="24"/>
          <w:highlight w:val="none"/>
        </w:rPr>
      </w:pPr>
    </w:p>
    <w:p>
      <w:pPr>
        <w:spacing w:line="360" w:lineRule="auto"/>
        <w:jc w:val="center"/>
        <w:rPr>
          <w:rFonts w:hint="eastAsia" w:ascii="宋体" w:hAnsi="宋体"/>
          <w:b/>
          <w:bCs/>
          <w:color w:val="auto"/>
          <w:sz w:val="24"/>
          <w:szCs w:val="24"/>
          <w:highlight w:val="none"/>
        </w:rPr>
      </w:pPr>
    </w:p>
    <w:p>
      <w:pPr>
        <w:spacing w:line="360" w:lineRule="auto"/>
        <w:jc w:val="center"/>
        <w:rPr>
          <w:rFonts w:hint="eastAsia" w:ascii="宋体" w:hAnsi="宋体"/>
          <w:b/>
          <w:bCs/>
          <w:color w:val="auto"/>
          <w:sz w:val="24"/>
          <w:szCs w:val="24"/>
          <w:highlight w:val="none"/>
        </w:rPr>
      </w:pPr>
    </w:p>
    <w:p>
      <w:pPr>
        <w:spacing w:line="360" w:lineRule="auto"/>
        <w:jc w:val="center"/>
        <w:rPr>
          <w:rFonts w:hint="eastAsia" w:ascii="宋体" w:hAnsi="宋体"/>
          <w:b/>
          <w:bCs/>
          <w:color w:val="auto"/>
          <w:sz w:val="24"/>
          <w:szCs w:val="24"/>
          <w:highlight w:val="none"/>
        </w:rPr>
      </w:pPr>
    </w:p>
    <w:p>
      <w:pPr>
        <w:spacing w:line="360" w:lineRule="auto"/>
        <w:jc w:val="center"/>
        <w:rPr>
          <w:rFonts w:hint="eastAsia" w:ascii="宋体" w:hAnsi="宋体"/>
          <w:b/>
          <w:bCs/>
          <w:color w:val="auto"/>
          <w:sz w:val="24"/>
          <w:szCs w:val="24"/>
          <w:highlight w:val="none"/>
        </w:rPr>
      </w:pPr>
    </w:p>
    <w:p>
      <w:pPr>
        <w:spacing w:line="360" w:lineRule="auto"/>
        <w:jc w:val="center"/>
        <w:rPr>
          <w:rFonts w:hint="eastAsia" w:ascii="宋体" w:hAnsi="宋体"/>
          <w:b/>
          <w:bCs/>
          <w:color w:val="auto"/>
          <w:sz w:val="32"/>
          <w:szCs w:val="32"/>
          <w:highlight w:val="none"/>
        </w:rPr>
      </w:pPr>
    </w:p>
    <w:p>
      <w:pPr>
        <w:spacing w:line="360" w:lineRule="auto"/>
        <w:jc w:val="center"/>
        <w:rPr>
          <w:rFonts w:hint="eastAsia" w:ascii="宋体" w:hAnsi="宋体"/>
          <w:b/>
          <w:bCs/>
          <w:color w:val="auto"/>
          <w:sz w:val="32"/>
          <w:szCs w:val="32"/>
          <w:highlight w:val="none"/>
        </w:rPr>
      </w:pPr>
    </w:p>
    <w:p>
      <w:pPr>
        <w:spacing w:line="360" w:lineRule="auto"/>
        <w:jc w:val="center"/>
        <w:rPr>
          <w:rFonts w:hint="eastAsia" w:ascii="宋体" w:hAnsi="宋体"/>
          <w:b/>
          <w:bCs/>
          <w:color w:val="auto"/>
          <w:sz w:val="32"/>
          <w:szCs w:val="32"/>
          <w:highlight w:val="none"/>
        </w:rPr>
      </w:pPr>
    </w:p>
    <w:p>
      <w:pPr>
        <w:spacing w:line="360" w:lineRule="auto"/>
        <w:jc w:val="center"/>
        <w:rPr>
          <w:rFonts w:ascii="宋体" w:hAnsi="宋体"/>
          <w:b/>
          <w:bCs/>
          <w:color w:val="auto"/>
          <w:sz w:val="24"/>
          <w:szCs w:val="24"/>
          <w:highlight w:val="none"/>
        </w:rPr>
      </w:pPr>
      <w:r>
        <w:rPr>
          <w:rFonts w:hint="eastAsia" w:ascii="宋体" w:hAnsi="宋体"/>
          <w:b/>
          <w:bCs/>
          <w:color w:val="auto"/>
          <w:sz w:val="32"/>
          <w:szCs w:val="32"/>
          <w:highlight w:val="none"/>
        </w:rPr>
        <w:t>XM202</w:t>
      </w:r>
      <w:r>
        <w:rPr>
          <w:rFonts w:hint="eastAsia" w:ascii="宋体" w:hAnsi="宋体"/>
          <w:b/>
          <w:bCs/>
          <w:color w:val="auto"/>
          <w:sz w:val="32"/>
          <w:szCs w:val="32"/>
          <w:highlight w:val="none"/>
          <w:lang w:val="en-US" w:eastAsia="zh-CN"/>
        </w:rPr>
        <w:t>4</w:t>
      </w:r>
      <w:r>
        <w:rPr>
          <w:rFonts w:hint="eastAsia" w:ascii="宋体" w:hAnsi="宋体"/>
          <w:b/>
          <w:bCs/>
          <w:color w:val="auto"/>
          <w:sz w:val="32"/>
          <w:szCs w:val="32"/>
          <w:highlight w:val="none"/>
        </w:rPr>
        <w:t>—DZ00</w:t>
      </w:r>
      <w:r>
        <w:rPr>
          <w:rFonts w:hint="eastAsia" w:ascii="宋体" w:hAnsi="宋体"/>
          <w:b/>
          <w:bCs/>
          <w:color w:val="auto"/>
          <w:sz w:val="32"/>
          <w:szCs w:val="32"/>
          <w:highlight w:val="none"/>
          <w:lang w:val="en-US" w:eastAsia="zh-CN"/>
        </w:rPr>
        <w:t>19</w:t>
      </w:r>
      <w:r>
        <w:rPr>
          <w:rFonts w:hint="eastAsia" w:ascii="宋体" w:hAnsi="宋体"/>
          <w:b/>
          <w:bCs/>
          <w:color w:val="auto"/>
          <w:sz w:val="24"/>
          <w:szCs w:val="24"/>
          <w:highlight w:val="none"/>
        </w:rPr>
        <w:t>家具买卖合同</w:t>
      </w:r>
    </w:p>
    <w:p>
      <w:pPr>
        <w:spacing w:line="360" w:lineRule="auto"/>
        <w:ind w:right="480"/>
        <w:jc w:val="center"/>
        <w:rPr>
          <w:rFonts w:ascii="宋体" w:hAnsi="宋体"/>
          <w:color w:val="auto"/>
          <w:sz w:val="24"/>
          <w:szCs w:val="24"/>
          <w:highlight w:val="none"/>
        </w:rPr>
      </w:pPr>
    </w:p>
    <w:p>
      <w:pPr>
        <w:spacing w:line="360" w:lineRule="auto"/>
        <w:ind w:right="480"/>
        <w:jc w:val="center"/>
        <w:rPr>
          <w:rFonts w:ascii="宋体" w:hAnsi="宋体"/>
          <w:b/>
          <w:color w:val="auto"/>
          <w:kern w:val="0"/>
          <w:sz w:val="24"/>
          <w:szCs w:val="24"/>
          <w:highlight w:val="none"/>
        </w:rPr>
      </w:pPr>
      <w:r>
        <w:rPr>
          <w:rFonts w:hint="eastAsia" w:ascii="宋体" w:hAnsi="宋体"/>
          <w:color w:val="auto"/>
          <w:sz w:val="24"/>
          <w:szCs w:val="24"/>
          <w:highlight w:val="none"/>
        </w:rPr>
        <w:t xml:space="preserve">                                    合同编号：</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 xml:space="preserve">买方：  </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卖方：厦门万翔网络商务有限公司</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现根据项目编号</w:t>
      </w:r>
      <w:r>
        <w:rPr>
          <w:rFonts w:ascii="宋体" w:hAnsi="宋体"/>
          <w:color w:val="auto"/>
          <w:sz w:val="24"/>
          <w:szCs w:val="24"/>
          <w:highlight w:val="none"/>
        </w:rPr>
        <w:t>:</w:t>
      </w:r>
      <w:r>
        <w:rPr>
          <w:rFonts w:ascii="宋体" w:hAnsi="宋体"/>
          <w:color w:val="auto"/>
          <w:sz w:val="24"/>
          <w:szCs w:val="24"/>
          <w:highlight w:val="none"/>
          <w:u w:val="single"/>
        </w:rPr>
        <w:t>XM202</w:t>
      </w:r>
      <w:r>
        <w:rPr>
          <w:rFonts w:hint="eastAsia" w:ascii="宋体" w:hAnsi="宋体"/>
          <w:color w:val="auto"/>
          <w:sz w:val="24"/>
          <w:szCs w:val="24"/>
          <w:highlight w:val="none"/>
          <w:u w:val="single"/>
          <w:lang w:val="en-US" w:eastAsia="zh-CN"/>
        </w:rPr>
        <w:t>4</w:t>
      </w:r>
      <w:r>
        <w:rPr>
          <w:rFonts w:ascii="宋体" w:hAnsi="宋体"/>
          <w:color w:val="auto"/>
          <w:sz w:val="24"/>
          <w:szCs w:val="24"/>
          <w:highlight w:val="none"/>
          <w:u w:val="single"/>
        </w:rPr>
        <w:t>-DZ00</w:t>
      </w:r>
      <w:r>
        <w:rPr>
          <w:rFonts w:hint="eastAsia" w:ascii="宋体" w:hAnsi="宋体"/>
          <w:color w:val="auto"/>
          <w:sz w:val="24"/>
          <w:szCs w:val="24"/>
          <w:highlight w:val="none"/>
          <w:u w:val="single"/>
          <w:lang w:val="en-US" w:eastAsia="zh-CN"/>
        </w:rPr>
        <w:t>19</w:t>
      </w:r>
      <w:r>
        <w:rPr>
          <w:rFonts w:hint="eastAsia" w:ascii="宋体" w:hAnsi="宋体"/>
          <w:color w:val="auto"/>
          <w:sz w:val="24"/>
          <w:szCs w:val="24"/>
          <w:highlight w:val="none"/>
        </w:rPr>
        <w:t>的招标（采购）文件、投标（报价）文件以及评审结果通知书（中标/成交供应商为 ：    ），买卖双方经协商一致，就卖方将从中标/成交供应商处采购的货物出售给买方、并约定由中标/成交供应商直接向买方履行安装及售后服务等义务，特制定本合同，以资共同遵守：</w:t>
      </w:r>
    </w:p>
    <w:p>
      <w:pPr>
        <w:tabs>
          <w:tab w:val="left" w:pos="315"/>
        </w:tabs>
        <w:spacing w:line="360" w:lineRule="auto"/>
        <w:rPr>
          <w:rFonts w:ascii="宋体" w:hAnsi="宋体"/>
          <w:b/>
          <w:color w:val="auto"/>
          <w:sz w:val="24"/>
          <w:szCs w:val="24"/>
          <w:highlight w:val="none"/>
        </w:rPr>
      </w:pPr>
      <w:r>
        <w:rPr>
          <w:rFonts w:ascii="宋体" w:hAnsi="宋体"/>
          <w:b/>
          <w:color w:val="auto"/>
          <w:sz w:val="24"/>
          <w:szCs w:val="24"/>
          <w:highlight w:val="none"/>
        </w:rPr>
        <w:t>1、合同标的物和价格（详见附件）</w:t>
      </w:r>
    </w:p>
    <w:tbl>
      <w:tblPr>
        <w:tblStyle w:val="14"/>
        <w:tblW w:w="8936" w:type="dxa"/>
        <w:tblInd w:w="103" w:type="dxa"/>
        <w:tblLayout w:type="fixed"/>
        <w:tblCellMar>
          <w:top w:w="0" w:type="dxa"/>
          <w:left w:w="108" w:type="dxa"/>
          <w:bottom w:w="0" w:type="dxa"/>
          <w:right w:w="108" w:type="dxa"/>
        </w:tblCellMar>
      </w:tblPr>
      <w:tblGrid>
        <w:gridCol w:w="1281"/>
        <w:gridCol w:w="2268"/>
        <w:gridCol w:w="2268"/>
        <w:gridCol w:w="1559"/>
        <w:gridCol w:w="1560"/>
      </w:tblGrid>
      <w:tr>
        <w:tblPrEx>
          <w:tblCellMar>
            <w:top w:w="0" w:type="dxa"/>
            <w:left w:w="108" w:type="dxa"/>
            <w:bottom w:w="0" w:type="dxa"/>
            <w:right w:w="108" w:type="dxa"/>
          </w:tblCellMar>
        </w:tblPrEx>
        <w:trPr>
          <w:trHeight w:val="615" w:hRule="atLeast"/>
        </w:trPr>
        <w:tc>
          <w:tcPr>
            <w:tcW w:w="128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品名</w:t>
            </w:r>
          </w:p>
        </w:tc>
        <w:tc>
          <w:tcPr>
            <w:tcW w:w="226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规格</w:t>
            </w:r>
          </w:p>
        </w:tc>
        <w:tc>
          <w:tcPr>
            <w:tcW w:w="226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制造商</w:t>
            </w:r>
          </w:p>
        </w:tc>
        <w:tc>
          <w:tcPr>
            <w:tcW w:w="1559"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数量</w:t>
            </w:r>
          </w:p>
        </w:tc>
        <w:tc>
          <w:tcPr>
            <w:tcW w:w="1560"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金额</w:t>
            </w:r>
          </w:p>
        </w:tc>
      </w:tr>
      <w:tr>
        <w:tblPrEx>
          <w:tblCellMar>
            <w:top w:w="0" w:type="dxa"/>
            <w:left w:w="108" w:type="dxa"/>
            <w:bottom w:w="0" w:type="dxa"/>
            <w:right w:w="108" w:type="dxa"/>
          </w:tblCellMar>
        </w:tblPrEx>
        <w:trPr>
          <w:trHeight w:val="559" w:hRule="atLeast"/>
        </w:trPr>
        <w:tc>
          <w:tcPr>
            <w:tcW w:w="128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firstLine="240" w:firstLineChars="100"/>
              <w:jc w:val="left"/>
              <w:rPr>
                <w:rFonts w:hint="default" w:ascii="宋体" w:hAnsi="宋体" w:cs="宋体"/>
                <w:color w:val="auto"/>
                <w:kern w:val="0"/>
                <w:sz w:val="24"/>
                <w:szCs w:val="24"/>
                <w:highlight w:val="none"/>
              </w:rPr>
            </w:pPr>
            <w:r>
              <w:rPr>
                <w:rFonts w:hint="eastAsia" w:ascii="宋体" w:hAnsi="宋体"/>
                <w:color w:val="auto"/>
                <w:sz w:val="24"/>
                <w:szCs w:val="24"/>
                <w:highlight w:val="none"/>
              </w:rPr>
              <w:t>家具</w:t>
            </w:r>
          </w:p>
        </w:tc>
        <w:tc>
          <w:tcPr>
            <w:tcW w:w="226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rPr>
                <w:rFonts w:hint="default" w:ascii="宋体" w:hAnsi="宋体"/>
                <w:color w:val="auto"/>
                <w:sz w:val="24"/>
                <w:szCs w:val="24"/>
                <w:highlight w:val="none"/>
              </w:rPr>
            </w:pPr>
          </w:p>
        </w:tc>
        <w:tc>
          <w:tcPr>
            <w:tcW w:w="2268"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line="360" w:lineRule="auto"/>
              <w:ind w:left="0" w:right="0"/>
              <w:jc w:val="center"/>
              <w:rPr>
                <w:rFonts w:hint="default" w:ascii="宋体" w:hAnsi="宋体"/>
                <w:color w:val="auto"/>
                <w:sz w:val="24"/>
                <w:szCs w:val="24"/>
                <w:highlight w:val="none"/>
              </w:rPr>
            </w:pPr>
          </w:p>
        </w:tc>
        <w:tc>
          <w:tcPr>
            <w:tcW w:w="155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default" w:ascii="宋体" w:hAnsi="宋体"/>
                <w:color w:val="auto"/>
                <w:sz w:val="24"/>
                <w:szCs w:val="24"/>
                <w:highlight w:val="none"/>
              </w:rPr>
              <w:t>1批（详见附件：价格清</w:t>
            </w:r>
            <w:r>
              <w:rPr>
                <w:rFonts w:hint="eastAsia" w:ascii="宋体" w:hAnsi="宋体"/>
                <w:color w:val="auto"/>
                <w:sz w:val="24"/>
                <w:szCs w:val="24"/>
                <w:highlight w:val="none"/>
              </w:rPr>
              <w:t>单）</w:t>
            </w:r>
          </w:p>
        </w:tc>
        <w:tc>
          <w:tcPr>
            <w:tcW w:w="156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p>
        </w:tc>
      </w:tr>
      <w:tr>
        <w:tblPrEx>
          <w:tblCellMar>
            <w:top w:w="0" w:type="dxa"/>
            <w:left w:w="108" w:type="dxa"/>
            <w:bottom w:w="0" w:type="dxa"/>
            <w:right w:w="108" w:type="dxa"/>
          </w:tblCellMar>
        </w:tblPrEx>
        <w:trPr>
          <w:trHeight w:val="540" w:hRule="atLeast"/>
        </w:trPr>
        <w:tc>
          <w:tcPr>
            <w:tcW w:w="8936" w:type="dxa"/>
            <w:gridSpan w:val="5"/>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360" w:lineRule="auto"/>
              <w:ind w:left="0" w:right="0"/>
              <w:rPr>
                <w:rFonts w:hint="default" w:ascii="宋体" w:hAnsi="宋体"/>
                <w:b/>
                <w:color w:val="auto"/>
                <w:sz w:val="24"/>
                <w:szCs w:val="24"/>
                <w:highlight w:val="none"/>
              </w:rPr>
            </w:pPr>
            <w:r>
              <w:rPr>
                <w:rFonts w:hint="eastAsia" w:ascii="宋体" w:hAnsi="宋体" w:cs="宋体"/>
                <w:b/>
                <w:bCs/>
                <w:color w:val="auto"/>
                <w:kern w:val="0"/>
                <w:sz w:val="24"/>
                <w:szCs w:val="24"/>
                <w:highlight w:val="none"/>
              </w:rPr>
              <w:t>合同总价：</w:t>
            </w:r>
            <w:r>
              <w:rPr>
                <w:rFonts w:hint="default" w:ascii="宋体" w:hAnsi="宋体"/>
                <w:b/>
                <w:color w:val="auto"/>
                <w:sz w:val="24"/>
                <w:szCs w:val="24"/>
                <w:highlight w:val="none"/>
              </w:rPr>
              <w:t xml:space="preserve">人民币 </w:t>
            </w:r>
            <w:r>
              <w:rPr>
                <w:rFonts w:hint="eastAsia" w:ascii="宋体" w:hAnsi="宋体"/>
                <w:color w:val="auto"/>
                <w:sz w:val="24"/>
                <w:szCs w:val="24"/>
                <w:highlight w:val="none"/>
              </w:rPr>
              <w:t>元整</w:t>
            </w:r>
            <w:r>
              <w:rPr>
                <w:rFonts w:hint="eastAsia" w:ascii="宋体" w:hAnsi="宋体"/>
                <w:bCs/>
                <w:color w:val="auto"/>
                <w:sz w:val="24"/>
                <w:szCs w:val="24"/>
                <w:highlight w:val="none"/>
              </w:rPr>
              <w:t>。货物验收完成后的保修等售后服务由买方与</w:t>
            </w:r>
            <w:r>
              <w:rPr>
                <w:rFonts w:hint="eastAsia" w:ascii="宋体" w:hAnsi="宋体"/>
                <w:color w:val="auto"/>
                <w:sz w:val="24"/>
                <w:szCs w:val="24"/>
                <w:highlight w:val="none"/>
              </w:rPr>
              <w:t>中标/成交</w:t>
            </w:r>
            <w:r>
              <w:rPr>
                <w:rFonts w:hint="eastAsia" w:ascii="宋体" w:hAnsi="宋体"/>
                <w:bCs/>
                <w:color w:val="auto"/>
                <w:sz w:val="24"/>
                <w:szCs w:val="24"/>
                <w:highlight w:val="none"/>
              </w:rPr>
              <w:t>供应商另行签订服务合同单独约定</w:t>
            </w:r>
            <w:r>
              <w:rPr>
                <w:rFonts w:hint="eastAsia" w:ascii="宋体" w:hAnsi="宋体"/>
                <w:bCs/>
                <w:color w:val="auto"/>
                <w:kern w:val="0"/>
                <w:sz w:val="24"/>
                <w:szCs w:val="24"/>
                <w:highlight w:val="none"/>
              </w:rPr>
              <w:t>，与本合同各自独立履行、互不影响。</w:t>
            </w:r>
          </w:p>
        </w:tc>
      </w:tr>
    </w:tbl>
    <w:p>
      <w:pPr>
        <w:spacing w:line="360" w:lineRule="auto"/>
        <w:rPr>
          <w:rFonts w:ascii="宋体" w:hAnsi="宋体"/>
          <w:b/>
          <w:color w:val="auto"/>
          <w:sz w:val="24"/>
          <w:szCs w:val="24"/>
          <w:highlight w:val="none"/>
        </w:rPr>
      </w:pPr>
      <w:r>
        <w:rPr>
          <w:rFonts w:ascii="宋体" w:hAnsi="宋体"/>
          <w:b/>
          <w:color w:val="auto"/>
          <w:sz w:val="24"/>
          <w:szCs w:val="24"/>
          <w:highlight w:val="none"/>
        </w:rPr>
        <w:t>2、交货</w:t>
      </w:r>
    </w:p>
    <w:p>
      <w:pPr>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2.1交货期：合同签订之日起</w:t>
      </w:r>
      <w:r>
        <w:rPr>
          <w:rFonts w:hint="eastAsia" w:ascii="宋体" w:hAnsi="宋体"/>
          <w:color w:val="auto"/>
          <w:sz w:val="24"/>
          <w:szCs w:val="24"/>
          <w:highlight w:val="none"/>
        </w:rPr>
        <w:t xml:space="preserve">  个日历日内（含交货、安装并验收合格交付使用）。</w:t>
      </w:r>
    </w:p>
    <w:p>
      <w:pPr>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2.2交货地点：买方指定的地点。</w:t>
      </w:r>
    </w:p>
    <w:p>
      <w:pPr>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2.3</w:t>
      </w:r>
      <w:r>
        <w:rPr>
          <w:rFonts w:hint="eastAsia" w:ascii="宋体" w:hAnsi="宋体"/>
          <w:color w:val="auto"/>
          <w:sz w:val="24"/>
          <w:szCs w:val="24"/>
          <w:highlight w:val="none"/>
        </w:rPr>
        <w:t>到货签收：卖方每批次供货到买方指定地点后，买方应当对到货数量、型号等进行清点签收，买方应按第</w:t>
      </w:r>
      <w:r>
        <w:rPr>
          <w:rFonts w:ascii="宋体" w:hAnsi="宋体"/>
          <w:color w:val="auto"/>
          <w:sz w:val="24"/>
          <w:szCs w:val="24"/>
          <w:highlight w:val="none"/>
        </w:rPr>
        <w:t>4</w:t>
      </w:r>
      <w:r>
        <w:rPr>
          <w:rFonts w:hint="eastAsia" w:ascii="宋体" w:hAnsi="宋体"/>
          <w:color w:val="auto"/>
          <w:sz w:val="24"/>
          <w:szCs w:val="24"/>
          <w:highlight w:val="none"/>
        </w:rPr>
        <w:t>条约定的付款条件向卖方支付约定的货款。</w:t>
      </w:r>
    </w:p>
    <w:p>
      <w:pPr>
        <w:spacing w:line="360" w:lineRule="auto"/>
        <w:rPr>
          <w:rFonts w:ascii="宋体" w:hAnsi="宋体"/>
          <w:b/>
          <w:color w:val="auto"/>
          <w:sz w:val="24"/>
          <w:szCs w:val="24"/>
          <w:highlight w:val="none"/>
        </w:rPr>
      </w:pPr>
      <w:r>
        <w:rPr>
          <w:rFonts w:ascii="宋体" w:hAnsi="宋体"/>
          <w:b/>
          <w:color w:val="auto"/>
          <w:sz w:val="24"/>
          <w:szCs w:val="24"/>
          <w:highlight w:val="none"/>
        </w:rPr>
        <w:t>3、验收</w:t>
      </w:r>
    </w:p>
    <w:p>
      <w:pPr>
        <w:tabs>
          <w:tab w:val="left" w:pos="5130"/>
        </w:tabs>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3.1买方负责承担合同货物安装过程中相应的协调、配合工作。</w:t>
      </w:r>
    </w:p>
    <w:p>
      <w:pPr>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3.2安装工作完成后，买方负责对合同货物进行验收。买方验收合格即视为最终验收合格；若无正当理由，买方超过</w:t>
      </w:r>
      <w:r>
        <w:rPr>
          <w:rFonts w:hint="eastAsia" w:ascii="宋体" w:hAnsi="宋体"/>
          <w:color w:val="auto"/>
          <w:sz w:val="24"/>
          <w:szCs w:val="24"/>
          <w:highlight w:val="none"/>
        </w:rPr>
        <w:t>3</w:t>
      </w:r>
      <w:r>
        <w:rPr>
          <w:rFonts w:ascii="宋体" w:hAnsi="宋体"/>
          <w:color w:val="auto"/>
          <w:sz w:val="24"/>
          <w:szCs w:val="24"/>
          <w:highlight w:val="none"/>
        </w:rPr>
        <w:t>0天仍未验收且未提出</w:t>
      </w:r>
      <w:r>
        <w:rPr>
          <w:rFonts w:hint="eastAsia" w:ascii="宋体" w:hAnsi="宋体"/>
          <w:color w:val="auto"/>
          <w:sz w:val="24"/>
          <w:szCs w:val="24"/>
          <w:highlight w:val="none"/>
        </w:rPr>
        <w:t>书</w:t>
      </w:r>
      <w:r>
        <w:rPr>
          <w:rFonts w:ascii="宋体" w:hAnsi="宋体"/>
          <w:color w:val="auto"/>
          <w:sz w:val="24"/>
          <w:szCs w:val="24"/>
          <w:highlight w:val="none"/>
        </w:rPr>
        <w:t>面异议的，则视为最终验收合格。</w:t>
      </w:r>
    </w:p>
    <w:p>
      <w:pPr>
        <w:pStyle w:val="12"/>
        <w:spacing w:line="360" w:lineRule="auto"/>
        <w:ind w:firstLine="210"/>
        <w:rPr>
          <w:rFonts w:ascii="宋体" w:hAnsi="宋体"/>
          <w:color w:val="auto"/>
          <w:highlight w:val="none"/>
        </w:rPr>
      </w:pPr>
      <w:r>
        <w:rPr>
          <w:rFonts w:hint="eastAsia" w:ascii="宋体" w:hAnsi="宋体"/>
          <w:color w:val="auto"/>
          <w:highlight w:val="none"/>
          <w:lang w:val="en-US"/>
        </w:rPr>
        <w:t xml:space="preserve"> 3.3</w:t>
      </w:r>
      <w:r>
        <w:rPr>
          <w:rFonts w:hint="eastAsia" w:ascii="宋体" w:hAnsi="宋体"/>
          <w:color w:val="auto"/>
          <w:sz w:val="24"/>
          <w:szCs w:val="28"/>
          <w:highlight w:val="none"/>
        </w:rPr>
        <w:t>买方在货物</w:t>
      </w:r>
      <w:r>
        <w:rPr>
          <w:rFonts w:hint="eastAsia" w:ascii="宋体" w:hAnsi="宋体"/>
          <w:color w:val="auto"/>
          <w:sz w:val="24"/>
          <w:highlight w:val="none"/>
        </w:rPr>
        <w:t>安装完毕后</w:t>
      </w:r>
      <w:r>
        <w:rPr>
          <w:rFonts w:hint="eastAsia" w:ascii="宋体" w:hAnsi="宋体"/>
          <w:color w:val="auto"/>
          <w:sz w:val="24"/>
          <w:szCs w:val="28"/>
          <w:highlight w:val="none"/>
        </w:rPr>
        <w:t>发现货物存在问题的，应在货物交付后</w:t>
      </w:r>
      <w:r>
        <w:rPr>
          <w:rFonts w:hint="eastAsia" w:ascii="宋体" w:hAnsi="宋体"/>
          <w:color w:val="auto"/>
          <w:sz w:val="24"/>
          <w:szCs w:val="28"/>
          <w:highlight w:val="none"/>
          <w:u w:val="single"/>
        </w:rPr>
        <w:t xml:space="preserve"> 5 </w:t>
      </w:r>
      <w:r>
        <w:rPr>
          <w:rFonts w:hint="eastAsia" w:ascii="宋体" w:hAnsi="宋体"/>
          <w:color w:val="auto"/>
          <w:sz w:val="24"/>
          <w:szCs w:val="28"/>
          <w:highlight w:val="none"/>
        </w:rPr>
        <w:t>个工作日内向卖方提出书面异议，逾期提出书面异议的，视为最终验收合格。</w:t>
      </w:r>
    </w:p>
    <w:p>
      <w:pPr>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3.4最终验收时，买方填写《厦门市政府采购验收报告》中货物相关信息，签署验收意见和加盖公章，并分别提供一份</w:t>
      </w:r>
      <w:r>
        <w:rPr>
          <w:rFonts w:hint="eastAsia" w:ascii="宋体" w:hAnsi="宋体"/>
          <w:color w:val="auto"/>
          <w:sz w:val="24"/>
          <w:szCs w:val="24"/>
          <w:highlight w:val="none"/>
        </w:rPr>
        <w:t>给中标供应商和卖方。</w:t>
      </w:r>
    </w:p>
    <w:p>
      <w:pPr>
        <w:tabs>
          <w:tab w:val="left" w:pos="5130"/>
        </w:tabs>
        <w:spacing w:line="360" w:lineRule="auto"/>
        <w:rPr>
          <w:rFonts w:ascii="宋体" w:hAnsi="宋体"/>
          <w:b/>
          <w:color w:val="auto"/>
          <w:sz w:val="24"/>
          <w:szCs w:val="24"/>
          <w:highlight w:val="none"/>
        </w:rPr>
      </w:pPr>
      <w:r>
        <w:rPr>
          <w:rFonts w:ascii="宋体" w:hAnsi="宋体"/>
          <w:b/>
          <w:color w:val="auto"/>
          <w:sz w:val="24"/>
          <w:szCs w:val="24"/>
          <w:highlight w:val="none"/>
        </w:rPr>
        <w:t>4、付款方式</w:t>
      </w:r>
    </w:p>
    <w:p>
      <w:pPr>
        <w:tabs>
          <w:tab w:val="left" w:pos="5130"/>
        </w:tabs>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4.1</w:t>
      </w:r>
      <w:r>
        <w:rPr>
          <w:rFonts w:hint="eastAsia" w:ascii="宋体" w:hAnsi="宋体"/>
          <w:color w:val="auto"/>
          <w:sz w:val="24"/>
          <w:szCs w:val="24"/>
          <w:highlight w:val="none"/>
        </w:rPr>
        <w:t>合同签订后</w:t>
      </w:r>
      <w:r>
        <w:rPr>
          <w:rFonts w:ascii="宋体" w:hAnsi="宋体"/>
          <w:color w:val="auto"/>
          <w:sz w:val="24"/>
          <w:szCs w:val="24"/>
          <w:highlight w:val="none"/>
        </w:rPr>
        <w:t>10个工作日内，买方向卖方支付合同总价</w:t>
      </w:r>
      <w:r>
        <w:rPr>
          <w:rFonts w:hint="eastAsia" w:ascii="宋体" w:hAnsi="宋体"/>
          <w:color w:val="auto"/>
          <w:sz w:val="24"/>
          <w:szCs w:val="24"/>
          <w:highlight w:val="none"/>
        </w:rPr>
        <w:t>50</w:t>
      </w:r>
      <w:r>
        <w:rPr>
          <w:rFonts w:ascii="宋体" w:hAnsi="宋体"/>
          <w:color w:val="auto"/>
          <w:sz w:val="24"/>
          <w:szCs w:val="24"/>
          <w:highlight w:val="none"/>
        </w:rPr>
        <w:t>%的预付款。</w:t>
      </w:r>
    </w:p>
    <w:p>
      <w:pPr>
        <w:tabs>
          <w:tab w:val="left" w:pos="5130"/>
        </w:tabs>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4.</w:t>
      </w:r>
      <w:r>
        <w:rPr>
          <w:rFonts w:hint="eastAsia" w:ascii="宋体" w:hAnsi="宋体"/>
          <w:color w:val="auto"/>
          <w:sz w:val="24"/>
          <w:szCs w:val="24"/>
          <w:highlight w:val="none"/>
        </w:rPr>
        <w:t>2</w:t>
      </w:r>
      <w:r>
        <w:rPr>
          <w:rFonts w:ascii="宋体" w:hAnsi="宋体"/>
          <w:color w:val="auto"/>
          <w:sz w:val="24"/>
          <w:szCs w:val="24"/>
          <w:highlight w:val="none"/>
        </w:rPr>
        <w:t>卖方供货安装、调试完毕，买方验收合格后，卖方开具合同总价100%的</w:t>
      </w:r>
      <w:r>
        <w:rPr>
          <w:rFonts w:hint="eastAsia" w:ascii="宋体" w:hAnsi="宋体"/>
          <w:color w:val="auto"/>
          <w:sz w:val="24"/>
          <w:szCs w:val="24"/>
          <w:highlight w:val="none"/>
        </w:rPr>
        <w:t>正规发票</w:t>
      </w:r>
      <w:r>
        <w:rPr>
          <w:rFonts w:ascii="宋体" w:hAnsi="宋体"/>
          <w:color w:val="auto"/>
          <w:sz w:val="24"/>
          <w:szCs w:val="24"/>
          <w:highlight w:val="none"/>
        </w:rPr>
        <w:t>和全部货物清单给买方，买方在20个工作日内向卖方支</w:t>
      </w:r>
      <w:r>
        <w:rPr>
          <w:rFonts w:hint="eastAsia" w:ascii="宋体" w:hAnsi="宋体"/>
          <w:color w:val="auto"/>
          <w:sz w:val="24"/>
          <w:szCs w:val="24"/>
          <w:highlight w:val="none"/>
        </w:rPr>
        <w:t>付本合同总价</w:t>
      </w:r>
      <w:r>
        <w:rPr>
          <w:rFonts w:ascii="宋体" w:hAnsi="宋体"/>
          <w:color w:val="auto"/>
          <w:sz w:val="24"/>
          <w:szCs w:val="24"/>
          <w:highlight w:val="none"/>
        </w:rPr>
        <w:t>100%的款项。</w:t>
      </w:r>
    </w:p>
    <w:p>
      <w:pPr>
        <w:tabs>
          <w:tab w:val="left" w:pos="5130"/>
        </w:tabs>
        <w:spacing w:line="360" w:lineRule="auto"/>
        <w:ind w:firstLine="480" w:firstLineChars="200"/>
        <w:rPr>
          <w:rFonts w:ascii="宋体" w:hAnsi="宋体"/>
          <w:color w:val="auto"/>
          <w:sz w:val="24"/>
          <w:szCs w:val="24"/>
          <w:highlight w:val="none"/>
          <w:u w:val="single"/>
        </w:rPr>
      </w:pPr>
      <w:r>
        <w:rPr>
          <w:rFonts w:ascii="宋体" w:hAnsi="宋体"/>
          <w:color w:val="auto"/>
          <w:sz w:val="24"/>
          <w:szCs w:val="24"/>
          <w:highlight w:val="none"/>
          <w:u w:val="single"/>
        </w:rPr>
        <w:t>4.</w:t>
      </w:r>
      <w:r>
        <w:rPr>
          <w:rFonts w:hint="eastAsia" w:ascii="宋体" w:hAnsi="宋体"/>
          <w:color w:val="auto"/>
          <w:sz w:val="24"/>
          <w:szCs w:val="24"/>
          <w:highlight w:val="none"/>
          <w:u w:val="single"/>
        </w:rPr>
        <w:t>3</w:t>
      </w:r>
      <w:r>
        <w:rPr>
          <w:rFonts w:ascii="宋体" w:hAnsi="宋体"/>
          <w:color w:val="auto"/>
          <w:sz w:val="24"/>
          <w:szCs w:val="24"/>
          <w:highlight w:val="none"/>
          <w:u w:val="single"/>
        </w:rPr>
        <w:t>付款时需具备以下材料：</w:t>
      </w:r>
    </w:p>
    <w:p>
      <w:pPr>
        <w:tabs>
          <w:tab w:val="left" w:pos="5130"/>
        </w:tabs>
        <w:spacing w:line="360" w:lineRule="auto"/>
        <w:ind w:firstLine="720" w:firstLineChars="300"/>
        <w:rPr>
          <w:rFonts w:ascii="宋体" w:hAnsi="宋体"/>
          <w:color w:val="auto"/>
          <w:sz w:val="24"/>
          <w:szCs w:val="24"/>
          <w:highlight w:val="none"/>
          <w:u w:val="single"/>
        </w:rPr>
      </w:pPr>
      <w:r>
        <w:rPr>
          <w:rFonts w:hint="eastAsia" w:ascii="宋体" w:hAnsi="宋体"/>
          <w:color w:val="auto"/>
          <w:sz w:val="24"/>
          <w:szCs w:val="24"/>
          <w:highlight w:val="none"/>
          <w:u w:val="single"/>
        </w:rPr>
        <w:t>（</w:t>
      </w:r>
      <w:r>
        <w:rPr>
          <w:rFonts w:ascii="宋体" w:hAnsi="宋体"/>
          <w:color w:val="auto"/>
          <w:sz w:val="24"/>
          <w:szCs w:val="24"/>
          <w:highlight w:val="none"/>
          <w:u w:val="single"/>
        </w:rPr>
        <w:t>1）买方、使用单位签署的《厦门市政府采购验收报告》；</w:t>
      </w:r>
    </w:p>
    <w:p>
      <w:pPr>
        <w:tabs>
          <w:tab w:val="left" w:pos="5130"/>
        </w:tabs>
        <w:spacing w:line="360" w:lineRule="auto"/>
        <w:ind w:firstLine="720" w:firstLineChars="300"/>
        <w:rPr>
          <w:rFonts w:ascii="宋体" w:hAnsi="宋体"/>
          <w:color w:val="auto"/>
          <w:sz w:val="24"/>
          <w:szCs w:val="24"/>
          <w:highlight w:val="none"/>
          <w:u w:val="single"/>
        </w:rPr>
      </w:pPr>
      <w:r>
        <w:rPr>
          <w:rFonts w:hint="eastAsia" w:ascii="宋体" w:hAnsi="宋体"/>
          <w:color w:val="auto"/>
          <w:sz w:val="24"/>
          <w:szCs w:val="24"/>
          <w:highlight w:val="none"/>
          <w:u w:val="single"/>
        </w:rPr>
        <w:t>（</w:t>
      </w:r>
      <w:r>
        <w:rPr>
          <w:rFonts w:ascii="宋体" w:hAnsi="宋体"/>
          <w:color w:val="auto"/>
          <w:sz w:val="24"/>
          <w:szCs w:val="24"/>
          <w:highlight w:val="none"/>
          <w:u w:val="single"/>
        </w:rPr>
        <w:t>2）货物发票（需附清单）；</w:t>
      </w:r>
    </w:p>
    <w:p>
      <w:pPr>
        <w:spacing w:line="360" w:lineRule="auto"/>
        <w:ind w:firstLine="480" w:firstLineChars="200"/>
        <w:rPr>
          <w:rFonts w:ascii="宋体" w:hAnsi="宋体"/>
          <w:color w:val="auto"/>
          <w:sz w:val="24"/>
          <w:szCs w:val="28"/>
          <w:highlight w:val="none"/>
        </w:rPr>
      </w:pPr>
      <w:r>
        <w:rPr>
          <w:rFonts w:hint="eastAsia" w:ascii="宋体" w:hAnsi="宋体"/>
          <w:color w:val="auto"/>
          <w:sz w:val="24"/>
          <w:szCs w:val="24"/>
          <w:highlight w:val="none"/>
          <w:u w:val="single"/>
        </w:rPr>
        <w:t>4</w:t>
      </w:r>
      <w:r>
        <w:rPr>
          <w:rFonts w:ascii="宋体" w:hAnsi="宋体"/>
          <w:color w:val="auto"/>
          <w:sz w:val="24"/>
          <w:szCs w:val="24"/>
          <w:highlight w:val="none"/>
          <w:u w:val="single"/>
        </w:rPr>
        <w:t>.4</w:t>
      </w:r>
      <w:r>
        <w:rPr>
          <w:rFonts w:hint="eastAsia" w:ascii="宋体" w:hAnsi="宋体"/>
          <w:color w:val="auto"/>
          <w:sz w:val="24"/>
          <w:szCs w:val="28"/>
          <w:highlight w:val="none"/>
        </w:rPr>
        <w:t>卖方指定收款账户如下：</w:t>
      </w:r>
    </w:p>
    <w:p>
      <w:pPr>
        <w:spacing w:line="360" w:lineRule="auto"/>
        <w:ind w:firstLine="720" w:firstLineChars="300"/>
        <w:rPr>
          <w:rFonts w:ascii="宋体" w:hAnsi="宋体"/>
          <w:color w:val="auto"/>
          <w:sz w:val="24"/>
          <w:highlight w:val="none"/>
          <w:u w:val="single"/>
        </w:rPr>
      </w:pPr>
      <w:r>
        <w:rPr>
          <w:rFonts w:hint="eastAsia" w:ascii="宋体" w:hAnsi="宋体"/>
          <w:color w:val="auto"/>
          <w:sz w:val="24"/>
          <w:highlight w:val="none"/>
        </w:rPr>
        <w:t>卖方全称：厦门万翔网络商务有限公司</w:t>
      </w:r>
    </w:p>
    <w:p>
      <w:pPr>
        <w:spacing w:line="360" w:lineRule="auto"/>
        <w:ind w:firstLine="720" w:firstLineChars="300"/>
        <w:rPr>
          <w:rFonts w:ascii="宋体" w:hAnsi="宋体"/>
          <w:color w:val="auto"/>
          <w:sz w:val="24"/>
          <w:highlight w:val="none"/>
        </w:rPr>
      </w:pPr>
      <w:r>
        <w:rPr>
          <w:rFonts w:hint="eastAsia" w:ascii="宋体" w:hAnsi="宋体"/>
          <w:color w:val="auto"/>
          <w:sz w:val="24"/>
          <w:highlight w:val="none"/>
        </w:rPr>
        <w:t>开户行：</w:t>
      </w:r>
      <w:r>
        <w:rPr>
          <w:rFonts w:hint="eastAsia" w:ascii="宋体" w:hAnsi="宋体"/>
          <w:color w:val="auto"/>
          <w:sz w:val="24"/>
          <w:highlight w:val="none"/>
          <w:u w:val="single"/>
        </w:rPr>
        <w:t>中国建设银行股份有限公司厦门自贸试验区航空港支行</w:t>
      </w:r>
    </w:p>
    <w:p>
      <w:pPr>
        <w:spacing w:line="360" w:lineRule="auto"/>
        <w:ind w:firstLine="720" w:firstLineChars="300"/>
        <w:rPr>
          <w:rFonts w:ascii="宋体" w:hAnsi="宋体"/>
          <w:color w:val="auto"/>
          <w:sz w:val="24"/>
          <w:highlight w:val="none"/>
        </w:rPr>
      </w:pPr>
      <w:r>
        <w:rPr>
          <w:rFonts w:hint="eastAsia" w:ascii="宋体" w:hAnsi="宋体"/>
          <w:color w:val="auto"/>
          <w:sz w:val="24"/>
          <w:highlight w:val="none"/>
        </w:rPr>
        <w:t>账号：</w:t>
      </w:r>
      <w:r>
        <w:rPr>
          <w:rFonts w:ascii="宋体" w:hAnsi="宋体"/>
          <w:color w:val="auto"/>
          <w:sz w:val="24"/>
          <w:highlight w:val="none"/>
          <w:u w:val="single"/>
        </w:rPr>
        <w:t>35101570201052503924</w:t>
      </w:r>
    </w:p>
    <w:p>
      <w:pPr>
        <w:spacing w:line="360" w:lineRule="auto"/>
        <w:rPr>
          <w:rFonts w:ascii="宋体" w:hAnsi="宋体"/>
          <w:b/>
          <w:color w:val="auto"/>
          <w:sz w:val="24"/>
          <w:szCs w:val="24"/>
          <w:highlight w:val="none"/>
        </w:rPr>
      </w:pPr>
      <w:r>
        <w:rPr>
          <w:rFonts w:ascii="宋体" w:hAnsi="宋体"/>
          <w:b/>
          <w:color w:val="auto"/>
          <w:sz w:val="24"/>
          <w:szCs w:val="24"/>
          <w:highlight w:val="none"/>
        </w:rPr>
        <w:t>5、售后服务</w:t>
      </w:r>
    </w:p>
    <w:p>
      <w:pPr>
        <w:tabs>
          <w:tab w:val="left" w:pos="0"/>
        </w:tabs>
        <w:adjustRightInd w:val="0"/>
        <w:spacing w:line="360" w:lineRule="auto"/>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货物验收后的保修等售后服务由中标供应商提供，买方应就货物保修等售后服务与中标供应商另行签订相应服务合同，卖方不向买方承担保修等售后服务。</w:t>
      </w:r>
    </w:p>
    <w:p>
      <w:pPr>
        <w:spacing w:line="360" w:lineRule="auto"/>
        <w:rPr>
          <w:rFonts w:ascii="宋体" w:hAnsi="宋体"/>
          <w:b/>
          <w:color w:val="auto"/>
          <w:sz w:val="24"/>
          <w:szCs w:val="24"/>
          <w:highlight w:val="none"/>
        </w:rPr>
      </w:pPr>
      <w:r>
        <w:rPr>
          <w:rFonts w:ascii="宋体" w:hAnsi="宋体"/>
          <w:b/>
          <w:color w:val="auto"/>
          <w:sz w:val="24"/>
          <w:szCs w:val="24"/>
          <w:highlight w:val="none"/>
        </w:rPr>
        <w:t>6、违约责任</w:t>
      </w:r>
    </w:p>
    <w:p>
      <w:pPr>
        <w:spacing w:line="360" w:lineRule="auto"/>
        <w:ind w:firstLine="480" w:firstLineChars="200"/>
        <w:rPr>
          <w:rFonts w:ascii="宋体" w:hAnsi="宋体"/>
          <w:color w:val="auto"/>
          <w:sz w:val="24"/>
          <w:highlight w:val="none"/>
        </w:rPr>
      </w:pPr>
      <w:r>
        <w:rPr>
          <w:rFonts w:ascii="宋体" w:hAnsi="宋体"/>
          <w:color w:val="auto"/>
          <w:sz w:val="24"/>
          <w:szCs w:val="28"/>
          <w:highlight w:val="none"/>
        </w:rPr>
        <w:t>6</w:t>
      </w:r>
      <w:r>
        <w:rPr>
          <w:rFonts w:hint="eastAsia" w:ascii="宋体" w:hAnsi="宋体"/>
          <w:color w:val="auto"/>
          <w:sz w:val="24"/>
          <w:szCs w:val="28"/>
          <w:highlight w:val="none"/>
        </w:rPr>
        <w:t>.1除不可抗力外，</w:t>
      </w:r>
      <w:r>
        <w:rPr>
          <w:rFonts w:hint="eastAsia" w:ascii="宋体" w:hAnsi="宋体"/>
          <w:color w:val="auto"/>
          <w:sz w:val="24"/>
          <w:highlight w:val="none"/>
        </w:rPr>
        <w:t>买方不能在本合同规定的时间内支付相应的货款时,应向卖方支付违约金,其支付办法是,每延迟一日,违约金为逾期应付款的万分之四,依此累加。</w:t>
      </w:r>
    </w:p>
    <w:p>
      <w:pPr>
        <w:spacing w:line="360" w:lineRule="auto"/>
        <w:ind w:firstLine="480" w:firstLineChars="200"/>
        <w:rPr>
          <w:rFonts w:ascii="宋体" w:hAnsi="宋体"/>
          <w:color w:val="auto"/>
          <w:sz w:val="24"/>
          <w:highlight w:val="none"/>
        </w:rPr>
      </w:pPr>
      <w:r>
        <w:rPr>
          <w:rFonts w:ascii="宋体" w:hAnsi="宋体"/>
          <w:color w:val="auto"/>
          <w:sz w:val="24"/>
          <w:szCs w:val="28"/>
          <w:highlight w:val="none"/>
        </w:rPr>
        <w:t>6</w:t>
      </w:r>
      <w:r>
        <w:rPr>
          <w:rFonts w:hint="eastAsia" w:ascii="宋体" w:hAnsi="宋体"/>
          <w:color w:val="auto"/>
          <w:sz w:val="24"/>
          <w:szCs w:val="28"/>
          <w:highlight w:val="none"/>
        </w:rPr>
        <w:t>.2除不可抗力外，</w:t>
      </w:r>
      <w:r>
        <w:rPr>
          <w:rFonts w:hint="eastAsia" w:ascii="宋体" w:hAnsi="宋体"/>
          <w:color w:val="auto"/>
          <w:sz w:val="24"/>
          <w:highlight w:val="none"/>
        </w:rPr>
        <w:t>卖方不能按时交货或完成安装时,应提前五天以书面的形式通知买方,并征得买方同意,否则应向买方支付违约金,其支付办法是,每延迟一日,违约金为逾期交货或安装部分价款的万分之四，依此累加。</w:t>
      </w:r>
    </w:p>
    <w:p>
      <w:pPr>
        <w:spacing w:line="360" w:lineRule="auto"/>
        <w:ind w:firstLine="523" w:firstLineChars="218"/>
        <w:rPr>
          <w:rFonts w:ascii="宋体" w:hAnsi="宋体"/>
          <w:color w:val="auto"/>
          <w:sz w:val="24"/>
          <w:szCs w:val="24"/>
          <w:highlight w:val="none"/>
        </w:rPr>
      </w:pPr>
      <w:r>
        <w:rPr>
          <w:rFonts w:ascii="宋体" w:hAnsi="宋体"/>
          <w:color w:val="auto"/>
          <w:sz w:val="24"/>
          <w:szCs w:val="28"/>
          <w:highlight w:val="none"/>
        </w:rPr>
        <w:t>6</w:t>
      </w:r>
      <w:r>
        <w:rPr>
          <w:rFonts w:hint="eastAsia" w:ascii="宋体" w:hAnsi="宋体"/>
          <w:color w:val="auto"/>
          <w:sz w:val="24"/>
          <w:szCs w:val="28"/>
          <w:highlight w:val="none"/>
        </w:rPr>
        <w:t>.3</w:t>
      </w:r>
      <w:r>
        <w:rPr>
          <w:rFonts w:ascii="宋体" w:hAnsi="宋体"/>
          <w:color w:val="auto"/>
          <w:sz w:val="24"/>
          <w:szCs w:val="24"/>
          <w:highlight w:val="none"/>
        </w:rPr>
        <w:t>一方违反合同造成另一方损失的，违约方应向守约方承担相应的赔偿责任。</w:t>
      </w:r>
      <w:r>
        <w:rPr>
          <w:rFonts w:hint="eastAsia" w:ascii="宋体" w:hAnsi="宋体"/>
          <w:color w:val="auto"/>
          <w:sz w:val="24"/>
          <w:highlight w:val="none"/>
        </w:rPr>
        <w:t>本合同约定的违约金不足以弥补守约方损失的，违约方应继续承担赔偿责任。</w:t>
      </w:r>
    </w:p>
    <w:p>
      <w:pPr>
        <w:spacing w:line="360" w:lineRule="auto"/>
        <w:rPr>
          <w:rFonts w:ascii="宋体" w:hAnsi="宋体"/>
          <w:b/>
          <w:color w:val="auto"/>
          <w:sz w:val="24"/>
          <w:szCs w:val="24"/>
          <w:highlight w:val="none"/>
        </w:rPr>
      </w:pPr>
      <w:r>
        <w:rPr>
          <w:rFonts w:ascii="宋体" w:hAnsi="宋体"/>
          <w:b/>
          <w:color w:val="auto"/>
          <w:sz w:val="24"/>
          <w:szCs w:val="24"/>
          <w:highlight w:val="none"/>
        </w:rPr>
        <w:t>7、不可抗力</w:t>
      </w:r>
    </w:p>
    <w:p>
      <w:pPr>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7.1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pPr>
        <w:spacing w:line="360" w:lineRule="auto"/>
        <w:ind w:firstLine="470" w:firstLineChars="196"/>
        <w:rPr>
          <w:rFonts w:ascii="宋体" w:hAnsi="宋体"/>
          <w:color w:val="auto"/>
          <w:sz w:val="24"/>
          <w:szCs w:val="24"/>
          <w:highlight w:val="none"/>
        </w:rPr>
      </w:pPr>
      <w:r>
        <w:rPr>
          <w:rFonts w:ascii="宋体" w:hAnsi="宋体"/>
          <w:color w:val="auto"/>
          <w:sz w:val="24"/>
          <w:szCs w:val="24"/>
          <w:highlight w:val="none"/>
        </w:rPr>
        <w:t>7.2本合同中的不可抗力指不能预见、不能避免并不能克服的客观情况。包括但不限于：自然灾害如地震、台风、洪水、火灾；政府行为、法律规定或其适用的变化或者其他任何无法预见、避免或者控制的事件。</w:t>
      </w:r>
    </w:p>
    <w:p>
      <w:pPr>
        <w:spacing w:line="360" w:lineRule="auto"/>
        <w:ind w:firstLine="470" w:firstLineChars="196"/>
        <w:rPr>
          <w:rFonts w:ascii="宋体" w:hAnsi="宋体"/>
          <w:b/>
          <w:color w:val="auto"/>
          <w:sz w:val="24"/>
          <w:szCs w:val="24"/>
          <w:highlight w:val="none"/>
        </w:rPr>
      </w:pPr>
      <w:r>
        <w:rPr>
          <w:rFonts w:ascii="宋体" w:hAnsi="宋体"/>
          <w:color w:val="auto"/>
          <w:sz w:val="24"/>
          <w:szCs w:val="24"/>
          <w:highlight w:val="none"/>
        </w:rPr>
        <w:t>7.3当事人一方因不可抗力的原因不能履行合同的，应及时通知对方，以减轻可能给对方造成的损失，并应当在合理期限内提供证明。</w:t>
      </w:r>
    </w:p>
    <w:p>
      <w:pPr>
        <w:spacing w:line="360" w:lineRule="auto"/>
        <w:rPr>
          <w:rFonts w:ascii="宋体" w:hAnsi="宋体"/>
          <w:b/>
          <w:color w:val="auto"/>
          <w:sz w:val="24"/>
          <w:szCs w:val="24"/>
          <w:highlight w:val="none"/>
        </w:rPr>
      </w:pPr>
      <w:r>
        <w:rPr>
          <w:rFonts w:ascii="宋体" w:hAnsi="宋体"/>
          <w:b/>
          <w:color w:val="auto"/>
          <w:sz w:val="24"/>
          <w:szCs w:val="24"/>
          <w:highlight w:val="none"/>
        </w:rPr>
        <w:t>8、合同纠纷处理方式：</w:t>
      </w:r>
    </w:p>
    <w:p>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因本合同或与本合同有关的一切事项发生争议，由双方友好协商解决。协商不成的，任何一方均可向</w:t>
      </w:r>
      <w:r>
        <w:rPr>
          <w:rFonts w:ascii="宋体" w:hAnsi="宋体"/>
          <w:color w:val="auto"/>
          <w:sz w:val="24"/>
          <w:szCs w:val="24"/>
          <w:highlight w:val="none"/>
        </w:rPr>
        <w:t>交货地人民法院</w:t>
      </w:r>
      <w:r>
        <w:rPr>
          <w:rFonts w:hint="eastAsia" w:ascii="宋体" w:hAnsi="宋体"/>
          <w:color w:val="auto"/>
          <w:sz w:val="24"/>
          <w:szCs w:val="24"/>
          <w:highlight w:val="none"/>
        </w:rPr>
        <w:t>提起诉讼。</w:t>
      </w:r>
    </w:p>
    <w:p>
      <w:pPr>
        <w:spacing w:line="360" w:lineRule="auto"/>
        <w:rPr>
          <w:rFonts w:ascii="宋体" w:hAnsi="宋体"/>
          <w:b/>
          <w:color w:val="auto"/>
          <w:sz w:val="24"/>
          <w:szCs w:val="24"/>
          <w:highlight w:val="none"/>
        </w:rPr>
      </w:pPr>
      <w:r>
        <w:rPr>
          <w:rFonts w:ascii="宋体" w:hAnsi="宋体"/>
          <w:b/>
          <w:color w:val="auto"/>
          <w:sz w:val="24"/>
          <w:szCs w:val="24"/>
          <w:highlight w:val="none"/>
        </w:rPr>
        <w:t>9、其他约定</w:t>
      </w:r>
    </w:p>
    <w:p>
      <w:pPr>
        <w:spacing w:line="360" w:lineRule="auto"/>
        <w:ind w:firstLine="600" w:firstLineChars="250"/>
        <w:rPr>
          <w:rFonts w:ascii="宋体" w:hAnsi="宋体"/>
          <w:color w:val="auto"/>
          <w:sz w:val="24"/>
          <w:szCs w:val="24"/>
          <w:highlight w:val="none"/>
        </w:rPr>
      </w:pPr>
      <w:r>
        <w:rPr>
          <w:rFonts w:ascii="宋体" w:hAnsi="宋体"/>
          <w:color w:val="auto"/>
          <w:sz w:val="24"/>
          <w:szCs w:val="24"/>
          <w:highlight w:val="none"/>
        </w:rPr>
        <w:t>9.1买卖双方同意，卖方供货经买方验收完成后，卖方即履行完毕所有合同义务。</w:t>
      </w:r>
    </w:p>
    <w:p>
      <w:pPr>
        <w:spacing w:line="360" w:lineRule="auto"/>
        <w:ind w:firstLine="600" w:firstLineChars="250"/>
        <w:rPr>
          <w:rFonts w:ascii="宋体" w:hAnsi="宋体"/>
          <w:color w:val="auto"/>
          <w:sz w:val="24"/>
          <w:szCs w:val="24"/>
          <w:highlight w:val="none"/>
        </w:rPr>
      </w:pPr>
      <w:r>
        <w:rPr>
          <w:rFonts w:ascii="宋体" w:hAnsi="宋体"/>
          <w:color w:val="auto"/>
          <w:sz w:val="24"/>
          <w:szCs w:val="24"/>
          <w:highlight w:val="none"/>
        </w:rPr>
        <w:t>9.2本合同未尽事宜，双方另行补充。</w:t>
      </w:r>
    </w:p>
    <w:p>
      <w:pPr>
        <w:spacing w:line="360" w:lineRule="auto"/>
        <w:ind w:firstLine="600" w:firstLineChars="250"/>
        <w:rPr>
          <w:rFonts w:ascii="宋体" w:hAnsi="宋体"/>
          <w:color w:val="auto"/>
          <w:sz w:val="24"/>
          <w:szCs w:val="24"/>
          <w:highlight w:val="none"/>
        </w:rPr>
      </w:pPr>
      <w:r>
        <w:rPr>
          <w:rFonts w:ascii="宋体" w:hAnsi="宋体"/>
          <w:color w:val="auto"/>
          <w:sz w:val="24"/>
          <w:szCs w:val="24"/>
          <w:highlight w:val="none"/>
        </w:rPr>
        <w:t>9.3本合同一式伍份，经双方签订之日起生效。买方执</w:t>
      </w:r>
      <w:r>
        <w:rPr>
          <w:rFonts w:hint="eastAsia" w:ascii="宋体" w:hAnsi="宋体"/>
          <w:color w:val="auto"/>
          <w:sz w:val="24"/>
          <w:szCs w:val="24"/>
          <w:highlight w:val="none"/>
          <w:u w:val="single"/>
        </w:rPr>
        <w:t>贰</w:t>
      </w:r>
      <w:r>
        <w:rPr>
          <w:rFonts w:hint="eastAsia" w:ascii="宋体" w:hAnsi="宋体"/>
          <w:color w:val="auto"/>
          <w:sz w:val="24"/>
          <w:szCs w:val="24"/>
          <w:highlight w:val="none"/>
        </w:rPr>
        <w:t>份，卖方执</w:t>
      </w:r>
      <w:r>
        <w:rPr>
          <w:rFonts w:hint="eastAsia" w:ascii="宋体" w:hAnsi="宋体"/>
          <w:color w:val="auto"/>
          <w:sz w:val="24"/>
          <w:szCs w:val="24"/>
          <w:highlight w:val="none"/>
          <w:u w:val="single"/>
        </w:rPr>
        <w:t>贰</w:t>
      </w:r>
      <w:r>
        <w:rPr>
          <w:rFonts w:hint="eastAsia" w:ascii="宋体" w:hAnsi="宋体"/>
          <w:color w:val="auto"/>
          <w:sz w:val="24"/>
          <w:szCs w:val="24"/>
          <w:highlight w:val="none"/>
        </w:rPr>
        <w:t>份，送厦门市财政局政府采购监管处</w:t>
      </w:r>
      <w:r>
        <w:rPr>
          <w:rFonts w:hint="eastAsia" w:ascii="宋体" w:hAnsi="宋体"/>
          <w:color w:val="auto"/>
          <w:sz w:val="24"/>
          <w:highlight w:val="none"/>
        </w:rPr>
        <w:t>备案</w:t>
      </w:r>
      <w:r>
        <w:rPr>
          <w:rFonts w:hint="eastAsia" w:ascii="宋体" w:hAnsi="宋体"/>
          <w:color w:val="auto"/>
          <w:sz w:val="24"/>
          <w:szCs w:val="24"/>
          <w:highlight w:val="none"/>
        </w:rPr>
        <w:t>壹份，具有同等法律效力。</w:t>
      </w:r>
    </w:p>
    <w:p>
      <w:pPr>
        <w:spacing w:line="360" w:lineRule="auto"/>
        <w:rPr>
          <w:rFonts w:ascii="宋体" w:hAnsi="宋体"/>
          <w:color w:val="auto"/>
          <w:sz w:val="24"/>
          <w:szCs w:val="24"/>
          <w:highlight w:val="none"/>
        </w:rPr>
      </w:pPr>
    </w:p>
    <w:p>
      <w:pPr>
        <w:spacing w:line="360" w:lineRule="auto"/>
        <w:rPr>
          <w:rFonts w:ascii="宋体" w:hAnsi="宋体"/>
          <w:color w:val="auto"/>
          <w:sz w:val="24"/>
          <w:szCs w:val="24"/>
          <w:highlight w:val="none"/>
        </w:rPr>
      </w:pPr>
    </w:p>
    <w:p>
      <w:pPr>
        <w:spacing w:line="360" w:lineRule="auto"/>
        <w:rPr>
          <w:rFonts w:ascii="宋体" w:hAnsi="宋体"/>
          <w:color w:val="auto"/>
          <w:sz w:val="24"/>
          <w:szCs w:val="24"/>
          <w:highlight w:val="none"/>
        </w:rPr>
      </w:pPr>
    </w:p>
    <w:p>
      <w:pPr>
        <w:spacing w:line="360" w:lineRule="auto"/>
        <w:rPr>
          <w:rFonts w:ascii="宋体" w:hAnsi="宋体"/>
          <w:color w:val="auto"/>
          <w:sz w:val="24"/>
          <w:szCs w:val="24"/>
          <w:highlight w:val="none"/>
        </w:rPr>
      </w:pPr>
      <w:r>
        <w:rPr>
          <w:rFonts w:hint="eastAsia" w:ascii="宋体" w:hAnsi="宋体"/>
          <w:color w:val="auto"/>
          <w:sz w:val="24"/>
          <w:szCs w:val="24"/>
          <w:highlight w:val="none"/>
        </w:rPr>
        <w:t>卖方：厦门万翔网络商务有限公司</w:t>
      </w:r>
      <w:r>
        <w:rPr>
          <w:rFonts w:ascii="宋体" w:hAnsi="宋体"/>
          <w:color w:val="auto"/>
          <w:sz w:val="24"/>
          <w:szCs w:val="24"/>
          <w:highlight w:val="none"/>
        </w:rPr>
        <w:t xml:space="preserve">           买方： </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单位地址：厦门市湖里区机场北路</w:t>
      </w:r>
      <w:r>
        <w:rPr>
          <w:rFonts w:ascii="宋体" w:hAnsi="宋体"/>
          <w:color w:val="auto"/>
          <w:sz w:val="24"/>
          <w:szCs w:val="24"/>
          <w:highlight w:val="none"/>
        </w:rPr>
        <w:t xml:space="preserve">476号     单位地址： </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法定代表人：</w:t>
      </w: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rPr>
        <w:t>法定代表人：</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授权代表：</w:t>
      </w: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rPr>
        <w:t>授权代表：</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签订时间：</w:t>
      </w: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rPr>
        <w:t>签订时间：</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电话：</w:t>
      </w: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rPr>
        <w:t>电话：</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开户银行：建设银行股份有限公司厦门分行机场支行</w:t>
      </w:r>
      <w:r>
        <w:rPr>
          <w:rFonts w:ascii="宋体" w:hAnsi="宋体"/>
          <w:color w:val="auto"/>
          <w:sz w:val="24"/>
          <w:szCs w:val="24"/>
          <w:highlight w:val="none"/>
        </w:rPr>
        <w:t xml:space="preserve">   开户银行： </w:t>
      </w:r>
    </w:p>
    <w:p>
      <w:pPr>
        <w:spacing w:line="360" w:lineRule="auto"/>
        <w:rPr>
          <w:rFonts w:ascii="宋体" w:hAnsi="宋体"/>
          <w:color w:val="auto"/>
          <w:sz w:val="24"/>
          <w:szCs w:val="24"/>
          <w:highlight w:val="none"/>
        </w:rPr>
      </w:pPr>
      <w:r>
        <w:rPr>
          <w:rFonts w:hint="eastAsia" w:ascii="宋体" w:hAnsi="宋体"/>
          <w:color w:val="auto"/>
          <w:sz w:val="24"/>
          <w:szCs w:val="24"/>
          <w:highlight w:val="none"/>
        </w:rPr>
        <w:t>账号：</w:t>
      </w:r>
      <w:r>
        <w:rPr>
          <w:rFonts w:ascii="宋体" w:hAnsi="宋体"/>
          <w:color w:val="auto"/>
          <w:sz w:val="24"/>
          <w:szCs w:val="24"/>
          <w:highlight w:val="none"/>
        </w:rPr>
        <w:t xml:space="preserve">35101570201052503924                      </w:t>
      </w:r>
      <w:r>
        <w:rPr>
          <w:rFonts w:hint="eastAsia" w:ascii="宋体" w:hAnsi="宋体"/>
          <w:color w:val="auto"/>
          <w:sz w:val="24"/>
          <w:szCs w:val="24"/>
          <w:highlight w:val="none"/>
        </w:rPr>
        <w:t>账号：</w:t>
      </w:r>
    </w:p>
    <w:p>
      <w:pPr>
        <w:rPr>
          <w:color w:val="auto"/>
          <w:highlight w:val="none"/>
        </w:rPr>
      </w:pPr>
    </w:p>
    <w:sectPr>
      <w:footerReference r:id="rId10"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ascii="宋体" w:hAnsi="宋体"/>
        <w:sz w:val="21"/>
        <w:szCs w:val="21"/>
      </w:rPr>
    </w:pPr>
    <w:r>
      <w:rPr>
        <w:rFonts w:hint="eastAsia"/>
      </w:rPr>
      <w:t xml:space="preserve">                                          </w:t>
    </w:r>
    <w:r>
      <w:rPr>
        <w:rFonts w:hint="eastAsia" w:ascii="宋体" w:hAnsi="宋体"/>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rFonts w:hint="eastAsia"/>
      </w:rPr>
      <w:t>3-1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ascii="宋体" w:hAnsi="宋体"/>
      </w:rPr>
    </w:pPr>
    <w:r>
      <w:rPr>
        <w:rFonts w:hint="eastAsia"/>
      </w:rPr>
      <w:t xml:space="preserve">                                          </w:t>
    </w:r>
    <w:r>
      <w:rPr>
        <w:rFonts w:hint="eastAsia" w:ascii="宋体" w:hAnsi="宋体"/>
        <w:sz w:val="21"/>
        <w:szCs w:val="21"/>
      </w:rPr>
      <w:t xml:space="preserve">   </w:t>
    </w:r>
    <w:r>
      <w:rPr>
        <w:rFonts w:ascii="宋体" w:hAnsi="宋体"/>
      </w:rPr>
      <w:t xml:space="preserve"> 1-</w:t>
    </w:r>
    <w:r>
      <w:rPr>
        <w:rFonts w:ascii="宋体" w:hAnsi="宋体"/>
      </w:rPr>
      <w:fldChar w:fldCharType="begin"/>
    </w:r>
    <w:r>
      <w:rPr>
        <w:rStyle w:val="18"/>
        <w:rFonts w:ascii="宋体" w:hAnsi="宋体"/>
      </w:rPr>
      <w:instrText xml:space="preserve"> PAGE </w:instrText>
    </w:r>
    <w:r>
      <w:rPr>
        <w:rFonts w:ascii="宋体" w:hAnsi="宋体"/>
      </w:rPr>
      <w:fldChar w:fldCharType="separate"/>
    </w:r>
    <w:r>
      <w:rPr>
        <w:rStyle w:val="18"/>
        <w:rFonts w:ascii="宋体" w:hAnsi="宋体"/>
      </w:rPr>
      <w:t>1</w:t>
    </w:r>
    <w:r>
      <w:rPr>
        <w:rFonts w:ascii="宋体" w:hAnsi="宋体"/>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ascii="宋体" w:hAnsi="宋体"/>
      </w:rPr>
    </w:pPr>
    <w:r>
      <w:rPr>
        <w:rStyle w:val="18"/>
        <w:rFonts w:ascii="宋体" w:hAnsi="宋体"/>
        <w:szCs w:val="20"/>
      </w:rPr>
      <w:t>2-1-</w:t>
    </w:r>
    <w:r>
      <w:rPr>
        <w:rFonts w:ascii="宋体" w:hAnsi="宋体"/>
        <w:szCs w:val="20"/>
      </w:rPr>
      <w:fldChar w:fldCharType="begin"/>
    </w:r>
    <w:r>
      <w:rPr>
        <w:rStyle w:val="18"/>
        <w:rFonts w:ascii="宋体" w:hAnsi="宋体"/>
        <w:szCs w:val="20"/>
      </w:rPr>
      <w:instrText xml:space="preserve"> PAGE </w:instrText>
    </w:r>
    <w:r>
      <w:rPr>
        <w:rFonts w:ascii="宋体" w:hAnsi="宋体"/>
        <w:szCs w:val="20"/>
      </w:rPr>
      <w:fldChar w:fldCharType="separate"/>
    </w:r>
    <w:r>
      <w:rPr>
        <w:rStyle w:val="18"/>
        <w:rFonts w:ascii="宋体" w:hAnsi="宋体"/>
        <w:szCs w:val="20"/>
      </w:rPr>
      <w:t>28</w:t>
    </w:r>
    <w:r>
      <w:rPr>
        <w:rFonts w:ascii="宋体" w:hAnsi="宋体"/>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right" w:pos="8460"/>
        <w:tab w:val="clear" w:pos="8306"/>
      </w:tabs>
      <w:ind w:right="-89" w:firstLine="420"/>
      <w:jc w:val="center"/>
      <w:rPr>
        <w:rFonts w:ascii="宋体" w:hAnsi="宋体"/>
      </w:rPr>
    </w:pPr>
    <w:r>
      <w:rPr>
        <w:rFonts w:ascii="宋体" w:hAnsi="宋体"/>
        <w:szCs w:val="20"/>
      </w:rPr>
      <w:t xml:space="preserve"> 3-</w:t>
    </w:r>
    <w:r>
      <w:rPr>
        <w:rFonts w:ascii="宋体" w:hAnsi="宋体"/>
        <w:szCs w:val="20"/>
      </w:rPr>
      <w:fldChar w:fldCharType="begin"/>
    </w:r>
    <w:r>
      <w:rPr>
        <w:rStyle w:val="18"/>
        <w:rFonts w:ascii="宋体" w:hAnsi="宋体"/>
        <w:szCs w:val="20"/>
      </w:rPr>
      <w:instrText xml:space="preserve"> PAGE </w:instrText>
    </w:r>
    <w:r>
      <w:rPr>
        <w:rFonts w:ascii="宋体" w:hAnsi="宋体"/>
        <w:szCs w:val="20"/>
      </w:rPr>
      <w:fldChar w:fldCharType="separate"/>
    </w:r>
    <w:r>
      <w:rPr>
        <w:rStyle w:val="18"/>
        <w:rFonts w:ascii="宋体" w:hAnsi="宋体"/>
        <w:szCs w:val="20"/>
      </w:rPr>
      <w:t>4</w:t>
    </w:r>
    <w:r>
      <w:rPr>
        <w:rFonts w:ascii="宋体" w:hAnsi="宋体"/>
        <w:szCs w:val="20"/>
      </w:rPr>
      <w:fldChar w:fldCharType="end"/>
    </w:r>
    <w:r>
      <w:rPr>
        <w:rFonts w:ascii="宋体" w:hAnsi="宋体"/>
        <w:szCs w:val="20"/>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right" w:pos="8460"/>
        <w:tab w:val="clear" w:pos="8306"/>
      </w:tabs>
      <w:ind w:right="-89" w:firstLine="420"/>
      <w:jc w:val="center"/>
      <w:rPr>
        <w:rFonts w:ascii="宋体" w:hAnsi="宋体"/>
      </w:rPr>
    </w:pPr>
    <w:r>
      <w:rPr>
        <w:rFonts w:ascii="宋体" w:hAnsi="宋体"/>
        <w:szCs w:val="20"/>
      </w:rPr>
      <w:t xml:space="preserve"> </w:t>
    </w:r>
    <w:r>
      <w:rPr>
        <w:rFonts w:hint="eastAsia" w:ascii="宋体" w:hAnsi="宋体"/>
        <w:szCs w:val="20"/>
      </w:rPr>
      <w:t>4</w:t>
    </w:r>
    <w:r>
      <w:rPr>
        <w:rFonts w:ascii="宋体" w:hAnsi="宋体"/>
        <w:szCs w:val="20"/>
      </w:rPr>
      <w:t>-</w:t>
    </w:r>
    <w:r>
      <w:rPr>
        <w:rFonts w:ascii="宋体" w:hAnsi="宋体"/>
        <w:szCs w:val="20"/>
      </w:rPr>
      <w:fldChar w:fldCharType="begin"/>
    </w:r>
    <w:r>
      <w:rPr>
        <w:rStyle w:val="18"/>
        <w:rFonts w:ascii="宋体" w:hAnsi="宋体"/>
        <w:szCs w:val="20"/>
      </w:rPr>
      <w:instrText xml:space="preserve"> PAGE </w:instrText>
    </w:r>
    <w:r>
      <w:rPr>
        <w:rFonts w:ascii="宋体" w:hAnsi="宋体"/>
        <w:szCs w:val="20"/>
      </w:rPr>
      <w:fldChar w:fldCharType="separate"/>
    </w:r>
    <w:r>
      <w:rPr>
        <w:rStyle w:val="18"/>
        <w:rFonts w:ascii="宋体" w:hAnsi="宋体"/>
        <w:szCs w:val="20"/>
      </w:rPr>
      <w:t>5</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D20BBA"/>
    <w:multiLevelType w:val="singleLevel"/>
    <w:tmpl w:val="84D20BBA"/>
    <w:lvl w:ilvl="0" w:tentative="0">
      <w:start w:val="2"/>
      <w:numFmt w:val="decimal"/>
      <w:suff w:val="nothing"/>
      <w:lvlText w:val="%1、"/>
      <w:lvlJc w:val="left"/>
    </w:lvl>
  </w:abstractNum>
  <w:abstractNum w:abstractNumId="1">
    <w:nsid w:val="E4C071C2"/>
    <w:multiLevelType w:val="singleLevel"/>
    <w:tmpl w:val="E4C071C2"/>
    <w:lvl w:ilvl="0" w:tentative="0">
      <w:start w:val="2"/>
      <w:numFmt w:val="decimal"/>
      <w:suff w:val="nothing"/>
      <w:lvlText w:val="%1、"/>
      <w:lvlJc w:val="left"/>
    </w:lvl>
  </w:abstractNum>
  <w:abstractNum w:abstractNumId="2">
    <w:nsid w:val="25C22B40"/>
    <w:multiLevelType w:val="multilevel"/>
    <w:tmpl w:val="25C22B40"/>
    <w:lvl w:ilvl="0" w:tentative="0">
      <w:start w:val="1"/>
      <w:numFmt w:val="japaneseCounting"/>
      <w:lvlText w:val="%1、"/>
      <w:lvlJc w:val="left"/>
      <w:pPr>
        <w:tabs>
          <w:tab w:val="left" w:pos="480"/>
        </w:tabs>
        <w:ind w:left="480" w:hanging="48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0NWY5YjE3NGYzMmZkYTI2NTFkNWYyOGEwODRiNzgifQ=="/>
    <w:docVar w:name="KSO_WPS_MARK_KEY" w:val="058c98b4-a2ba-44b2-b2d1-d04c7984426b"/>
  </w:docVars>
  <w:rsids>
    <w:rsidRoot w:val="00000000"/>
    <w:rsid w:val="0CF30E55"/>
    <w:rsid w:val="218B7E1C"/>
    <w:rsid w:val="26560AC5"/>
    <w:rsid w:val="34CC6EE0"/>
    <w:rsid w:val="4B420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2">
    <w:name w:val="Normal Indent"/>
    <w:basedOn w:val="1"/>
    <w:link w:val="21"/>
    <w:qFormat/>
    <w:uiPriority w:val="0"/>
    <w:pPr>
      <w:ind w:firstLine="420"/>
    </w:pPr>
    <w:rPr>
      <w:rFonts w:ascii="Times New Roman" w:hAnsi="Times New Roman"/>
      <w:szCs w:val="20"/>
    </w:rPr>
  </w:style>
  <w:style w:type="paragraph" w:styleId="3">
    <w:name w:val="Body Text"/>
    <w:basedOn w:val="1"/>
    <w:link w:val="22"/>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4">
    <w:name w:val="Body Text Indent"/>
    <w:basedOn w:val="1"/>
    <w:unhideWhenUsed/>
    <w:qFormat/>
    <w:uiPriority w:val="99"/>
    <w:pPr>
      <w:spacing w:after="120"/>
      <w:ind w:left="420" w:leftChars="200"/>
    </w:pPr>
  </w:style>
  <w:style w:type="paragraph" w:styleId="5">
    <w:name w:val="Plain Text"/>
    <w:basedOn w:val="1"/>
    <w:link w:val="23"/>
    <w:qFormat/>
    <w:uiPriority w:val="0"/>
    <w:rPr>
      <w:rFonts w:ascii="宋体" w:hAnsi="Courier New"/>
      <w:szCs w:val="20"/>
    </w:rPr>
  </w:style>
  <w:style w:type="paragraph" w:styleId="6">
    <w:name w:val="Body Text Indent 2"/>
    <w:basedOn w:val="1"/>
    <w:link w:val="24"/>
    <w:qFormat/>
    <w:uiPriority w:val="0"/>
    <w:pPr>
      <w:spacing w:after="120" w:line="480" w:lineRule="auto"/>
      <w:ind w:left="420"/>
    </w:pPr>
    <w:rPr>
      <w:rFonts w:ascii="Times New Roman" w:hAnsi="Times New Roman"/>
      <w:szCs w:val="20"/>
    </w:rPr>
  </w:style>
  <w:style w:type="paragraph" w:styleId="7">
    <w:name w:val="Balloon Text"/>
    <w:basedOn w:val="1"/>
    <w:link w:val="25"/>
    <w:unhideWhenUsed/>
    <w:qFormat/>
    <w:uiPriority w:val="99"/>
    <w:rPr>
      <w:rFonts w:ascii="Times New Roman" w:hAnsi="Times New Roman"/>
      <w:sz w:val="18"/>
      <w:szCs w:val="18"/>
    </w:rPr>
  </w:style>
  <w:style w:type="paragraph" w:styleId="8">
    <w:name w:val="footer"/>
    <w:basedOn w:val="1"/>
    <w:link w:val="26"/>
    <w:unhideWhenUsed/>
    <w:qFormat/>
    <w:uiPriority w:val="0"/>
    <w:pPr>
      <w:tabs>
        <w:tab w:val="center" w:pos="4153"/>
        <w:tab w:val="right" w:pos="8306"/>
      </w:tabs>
      <w:snapToGrid w:val="0"/>
      <w:jc w:val="left"/>
    </w:pPr>
    <w:rPr>
      <w:sz w:val="18"/>
      <w:szCs w:val="18"/>
    </w:rPr>
  </w:style>
  <w:style w:type="paragraph" w:styleId="9">
    <w:name w:val="header"/>
    <w:basedOn w:val="1"/>
    <w:link w:val="27"/>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link w:val="28"/>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11">
    <w:name w:val="Normal (Web)"/>
    <w:basedOn w:val="1"/>
    <w:unhideWhenUsed/>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12">
    <w:name w:val="Body Text First Indent"/>
    <w:basedOn w:val="3"/>
    <w:next w:val="13"/>
    <w:qFormat/>
    <w:uiPriority w:val="0"/>
    <w:pPr>
      <w:spacing w:after="120"/>
      <w:ind w:firstLine="420" w:firstLineChars="100"/>
      <w:jc w:val="both"/>
    </w:pPr>
    <w:rPr>
      <w:rFonts w:ascii="Times New Roman" w:hAnsi="Times New Roman" w:eastAsia="宋体"/>
      <w:b w:val="0"/>
      <w:bCs w:val="0"/>
      <w:kern w:val="2"/>
      <w:sz w:val="21"/>
      <w:szCs w:val="24"/>
    </w:rPr>
  </w:style>
  <w:style w:type="paragraph" w:styleId="13">
    <w:name w:val="Body Text First Indent 2"/>
    <w:basedOn w:val="4"/>
    <w:unhideWhenUsed/>
    <w:qFormat/>
    <w:uiPriority w:val="99"/>
    <w:pPr>
      <w:ind w:firstLine="420" w:firstLineChars="200"/>
    </w:p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22"/>
    <w:rPr>
      <w:rFonts w:ascii="Times New Roman" w:hAnsi="Times New Roman" w:eastAsia="宋体" w:cs="Times New Roman"/>
      <w:b/>
      <w:bCs/>
    </w:rPr>
  </w:style>
  <w:style w:type="character" w:styleId="18">
    <w:name w:val="page number"/>
    <w:basedOn w:val="16"/>
    <w:qFormat/>
    <w:uiPriority w:val="0"/>
    <w:rPr>
      <w:rFonts w:ascii="Times New Roman" w:hAnsi="Times New Roman" w:eastAsia="宋体" w:cs="Times New Roman"/>
    </w:rPr>
  </w:style>
  <w:style w:type="character" w:styleId="19">
    <w:name w:val="Emphasis"/>
    <w:basedOn w:val="16"/>
    <w:qFormat/>
    <w:uiPriority w:val="20"/>
    <w:rPr>
      <w:rFonts w:ascii="Times New Roman" w:hAnsi="Times New Roman" w:eastAsia="宋体" w:cs="Times New Roman"/>
      <w:i/>
      <w:iCs/>
    </w:rPr>
  </w:style>
  <w:style w:type="character" w:styleId="20">
    <w:name w:val="Hyperlink"/>
    <w:basedOn w:val="16"/>
    <w:unhideWhenUsed/>
    <w:qFormat/>
    <w:uiPriority w:val="0"/>
    <w:rPr>
      <w:rFonts w:ascii="Times New Roman" w:hAnsi="Times New Roman" w:eastAsia="宋体" w:cs="Times New Roman"/>
      <w:color w:val="0000FF"/>
      <w:u w:val="single"/>
    </w:rPr>
  </w:style>
  <w:style w:type="character" w:customStyle="1" w:styleId="21">
    <w:name w:val="正文缩进 Char"/>
    <w:basedOn w:val="16"/>
    <w:link w:val="2"/>
    <w:qFormat/>
    <w:locked/>
    <w:uiPriority w:val="0"/>
    <w:rPr>
      <w:rFonts w:ascii="Times New Roman" w:hAnsi="Times New Roman" w:eastAsia="宋体" w:cs="Times New Roman"/>
      <w:szCs w:val="20"/>
    </w:rPr>
  </w:style>
  <w:style w:type="character" w:customStyle="1" w:styleId="22">
    <w:name w:val="正文文本 Char"/>
    <w:basedOn w:val="16"/>
    <w:link w:val="3"/>
    <w:qFormat/>
    <w:uiPriority w:val="0"/>
    <w:rPr>
      <w:rFonts w:ascii="幼圆" w:hAnsi="新宋体" w:eastAsia="幼圆" w:cs="Times New Roman"/>
      <w:b/>
      <w:bCs/>
      <w:sz w:val="84"/>
      <w:szCs w:val="20"/>
      <w14:shadow w14:blurRad="50800" w14:dist="38100" w14:dir="2700000" w14:sx="100000" w14:sy="100000" w14:kx="0" w14:ky="0" w14:algn="tl">
        <w14:srgbClr w14:val="000000">
          <w14:alpha w14:val="60000"/>
        </w14:srgbClr>
      </w14:shadow>
    </w:rPr>
  </w:style>
  <w:style w:type="character" w:customStyle="1" w:styleId="23">
    <w:name w:val="纯文本 Char1"/>
    <w:basedOn w:val="16"/>
    <w:link w:val="5"/>
    <w:qFormat/>
    <w:uiPriority w:val="0"/>
    <w:rPr>
      <w:rFonts w:ascii="宋体" w:hAnsi="Courier New" w:eastAsia="宋体" w:cs="Times New Roman"/>
      <w:szCs w:val="20"/>
    </w:rPr>
  </w:style>
  <w:style w:type="character" w:customStyle="1" w:styleId="24">
    <w:name w:val="正文文本缩进 2 Char"/>
    <w:basedOn w:val="16"/>
    <w:link w:val="6"/>
    <w:qFormat/>
    <w:uiPriority w:val="0"/>
    <w:rPr>
      <w:rFonts w:ascii="Times New Roman" w:hAnsi="Times New Roman" w:eastAsia="宋体" w:cs="Times New Roman"/>
      <w:szCs w:val="20"/>
    </w:rPr>
  </w:style>
  <w:style w:type="character" w:customStyle="1" w:styleId="25">
    <w:name w:val="批注框文本 Char"/>
    <w:basedOn w:val="16"/>
    <w:link w:val="7"/>
    <w:semiHidden/>
    <w:qFormat/>
    <w:uiPriority w:val="99"/>
    <w:rPr>
      <w:rFonts w:ascii="Times New Roman" w:hAnsi="Times New Roman" w:eastAsia="宋体" w:cs="Times New Roman"/>
      <w:sz w:val="18"/>
      <w:szCs w:val="18"/>
    </w:rPr>
  </w:style>
  <w:style w:type="character" w:customStyle="1" w:styleId="26">
    <w:name w:val="页脚 Char"/>
    <w:basedOn w:val="16"/>
    <w:link w:val="8"/>
    <w:qFormat/>
    <w:uiPriority w:val="0"/>
    <w:rPr>
      <w:rFonts w:ascii="Times New Roman" w:hAnsi="Times New Roman" w:eastAsia="宋体" w:cs="Times New Roman"/>
      <w:sz w:val="18"/>
      <w:szCs w:val="18"/>
    </w:rPr>
  </w:style>
  <w:style w:type="character" w:customStyle="1" w:styleId="27">
    <w:name w:val="页眉 Char"/>
    <w:basedOn w:val="16"/>
    <w:link w:val="9"/>
    <w:qFormat/>
    <w:uiPriority w:val="0"/>
    <w:rPr>
      <w:rFonts w:ascii="Times New Roman" w:hAnsi="Times New Roman" w:eastAsia="宋体" w:cs="Times New Roman"/>
      <w:sz w:val="18"/>
      <w:szCs w:val="18"/>
    </w:rPr>
  </w:style>
  <w:style w:type="character" w:customStyle="1" w:styleId="28">
    <w:name w:val="HTML 预设格式 Char"/>
    <w:basedOn w:val="16"/>
    <w:link w:val="10"/>
    <w:semiHidden/>
    <w:qFormat/>
    <w:uiPriority w:val="99"/>
    <w:rPr>
      <w:rFonts w:ascii="宋体" w:hAnsi="宋体" w:eastAsia="宋体" w:cs="宋体"/>
      <w:kern w:val="0"/>
      <w:sz w:val="24"/>
      <w:szCs w:val="24"/>
    </w:rPr>
  </w:style>
  <w:style w:type="character" w:customStyle="1" w:styleId="29">
    <w:name w:val="纯文本 Char"/>
    <w:basedOn w:val="16"/>
    <w:qFormat/>
    <w:uiPriority w:val="0"/>
    <w:rPr>
      <w:rFonts w:ascii="宋体" w:hAnsi="Courier New" w:eastAsia="宋体" w:cs="Courier New"/>
      <w:kern w:val="2"/>
      <w:sz w:val="21"/>
      <w:szCs w:val="21"/>
    </w:rPr>
  </w:style>
  <w:style w:type="character" w:customStyle="1" w:styleId="30">
    <w:name w:val="sp_dash"/>
    <w:basedOn w:val="16"/>
    <w:qFormat/>
    <w:uiPriority w:val="0"/>
    <w:rPr>
      <w:rFonts w:ascii="Times New Roman" w:hAnsi="Times New Roman" w:eastAsia="宋体" w:cs="Times New Roman"/>
    </w:rPr>
  </w:style>
  <w:style w:type="character" w:customStyle="1" w:styleId="31">
    <w:name w:val="apple-converted-space"/>
    <w:basedOn w:val="16"/>
    <w:qFormat/>
    <w:uiPriority w:val="0"/>
    <w:rPr>
      <w:rFonts w:ascii="Times New Roman" w:hAnsi="Times New Roman" w:eastAsia="宋体" w:cs="Times New Roman"/>
    </w:rPr>
  </w:style>
  <w:style w:type="character" w:customStyle="1" w:styleId="32">
    <w:name w:val="prc_air"/>
    <w:basedOn w:val="16"/>
    <w:qFormat/>
    <w:uiPriority w:val="0"/>
    <w:rPr>
      <w:rFonts w:ascii="Times New Roman" w:hAnsi="Times New Roman" w:eastAsia="宋体" w:cs="Times New Roman"/>
    </w:rPr>
  </w:style>
  <w:style w:type="paragraph" w:customStyle="1" w:styleId="33">
    <w:name w:val="p_airpor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4">
    <w:name w:val="p_ct"/>
    <w:basedOn w:val="1"/>
    <w:qFormat/>
    <w:uiPriority w:val="0"/>
    <w:pPr>
      <w:widowControl/>
      <w:spacing w:before="100" w:beforeAutospacing="1" w:after="100" w:afterAutospacing="1"/>
      <w:jc w:val="left"/>
    </w:pPr>
    <w:rPr>
      <w:rFonts w:ascii="宋体" w:hAnsi="宋体" w:cs="宋体"/>
      <w:kern w:val="0"/>
      <w:sz w:val="24"/>
      <w:szCs w:val="24"/>
    </w:rPr>
  </w:style>
  <w:style w:type="paragraph" w:styleId="35">
    <w:name w:val="List Paragraph"/>
    <w:basedOn w:val="1"/>
    <w:qFormat/>
    <w:uiPriority w:val="34"/>
    <w:pPr>
      <w:widowControl/>
      <w:spacing w:before="100" w:beforeAutospacing="1" w:after="100" w:afterAutospacing="1"/>
      <w:jc w:val="left"/>
    </w:pPr>
    <w:rPr>
      <w:rFonts w:ascii="宋体" w:hAnsi="宋体" w:cs="宋体"/>
      <w:color w:val="000000"/>
      <w:kern w:val="0"/>
      <w:sz w:val="24"/>
      <w:szCs w:val="24"/>
    </w:rPr>
  </w:style>
  <w:style w:type="paragraph" w:customStyle="1" w:styleId="36">
    <w:name w:val="p_date"/>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7">
    <w:name w:val="p_rtax"/>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8">
    <w:name w:val="p_time"/>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9">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40">
    <w:name w:val="_Style 35"/>
    <w:unhideWhenUsed/>
    <w:qFormat/>
    <w:uiPriority w:val="99"/>
    <w:rPr>
      <w:rFonts w:ascii="Times New Roman" w:hAnsi="Times New Roman" w:eastAsia="宋体" w:cs="Times New Roman"/>
      <w:kern w:val="2"/>
      <w:sz w:val="21"/>
      <w:szCs w:val="22"/>
      <w:lang w:val="en-US" w:eastAsia="zh-CN" w:bidi="ar-SA"/>
    </w:rPr>
  </w:style>
  <w:style w:type="paragraph" w:customStyle="1" w:styleId="41">
    <w:name w:val="p0"/>
    <w:basedOn w:val="1"/>
    <w:qFormat/>
    <w:uiPriority w:val="0"/>
    <w:pPr>
      <w:keepNext w:val="0"/>
      <w:keepLines w:val="0"/>
      <w:widowControl/>
      <w:suppressLineNumbers w:val="0"/>
      <w:spacing w:before="0" w:beforeAutospacing="0" w:after="0" w:afterAutospacing="0"/>
      <w:ind w:left="0" w:right="0"/>
      <w:jc w:val="both"/>
    </w:pPr>
    <w:rPr>
      <w:rFonts w:hint="default" w:ascii="Times New Roman" w:hAnsi="Times New Roman" w:eastAsia="宋体" w:cs="Times New Roman"/>
      <w:kern w:val="0"/>
      <w:sz w:val="21"/>
      <w:szCs w:val="21"/>
      <w:lang w:val="en-US" w:eastAsia="zh-CN" w:bidi="ar"/>
    </w:rPr>
  </w:style>
  <w:style w:type="paragraph" w:customStyle="1" w:styleId="42">
    <w:name w:val="正文缩进1"/>
    <w:basedOn w:val="1"/>
    <w:qFormat/>
    <w:uiPriority w:val="0"/>
    <w:pPr>
      <w:widowControl/>
      <w:spacing w:line="276" w:lineRule="auto"/>
      <w:ind w:firstLine="420"/>
      <w:jc w:val="left"/>
    </w:pPr>
    <w:rPr>
      <w:kern w:val="0"/>
      <w:sz w:val="22"/>
      <w:lang w:eastAsia="en-US" w:bidi="en-US"/>
    </w:rPr>
  </w:style>
  <w:style w:type="paragraph" w:customStyle="1" w:styleId="43">
    <w:name w:val="Heading2"/>
    <w:basedOn w:val="1"/>
    <w:next w:val="1"/>
    <w:qFormat/>
    <w:uiPriority w:val="0"/>
    <w:pPr>
      <w:textAlignment w:val="baseline"/>
    </w:pPr>
    <w:rPr>
      <w:rFonts w:ascii="等线" w:hAnsi="等线" w:eastAsia="等线"/>
      <w:sz w:val="3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image" Target="media/image15.png"/><Relationship Id="rId25" Type="http://schemas.openxmlformats.org/officeDocument/2006/relationships/image" Target="media/image14.jpe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jpe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57</Pages>
  <Words>33255</Words>
  <Characters>36405</Characters>
  <Lines>1</Lines>
  <Paragraphs>1</Paragraphs>
  <TotalTime>2</TotalTime>
  <ScaleCrop>false</ScaleCrop>
  <LinksUpToDate>false</LinksUpToDate>
  <CharactersWithSpaces>37846</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2015-01-02T20:40:00Z</dcterms:created>
  <dc:creator>黄超群</dc:creator>
  <cp:lastModifiedBy>WPS_1528123779</cp:lastModifiedBy>
  <dcterms:modified xsi:type="dcterms:W3CDTF">2024-05-16T09:05:26Z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2233E0D1958D41FD89A283441EA30ABD</vt:lpwstr>
  </property>
</Properties>
</file>